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9749"/>
            <w:shd w:fill="166534"/>
            <w:vAlign w:val="center"/>
          </w:tcPr>
          <w:p>
            <w:pPr>
              <w:spacing w:before="240" w:after="240"/>
              <w:jc w:val="center"/>
            </w:pPr>
            <w:r>
              <w:rPr>
                <w:rFonts w:ascii="Arial" w:hAnsi="Arial"/>
                <w:b/>
                <w:color w:val="FFFFFF"/>
                <w:sz w:val="34"/>
              </w:rPr>
              <w:t>RAPID FORGE BUILDATHON</w:t>
            </w:r>
          </w:p>
        </w:tc>
      </w:tr>
    </w:tbl>
    <w:p/>
    <w:p>
      <w:pPr>
        <w:spacing w:after="140"/>
        <w:jc w:val="center"/>
      </w:pPr>
      <w:r>
        <w:rPr>
          <w:rFonts w:ascii="Arial" w:hAnsi="Arial"/>
          <w:b/>
          <w:color w:val="14532D"/>
          <w:sz w:val="60"/>
        </w:rPr>
        <w:t>COOLSHIFT</w:t>
      </w:r>
    </w:p>
    <w:p>
      <w:pPr>
        <w:jc w:val="center"/>
      </w:pPr>
      <w:r>
        <w:rPr>
          <w:rFonts w:ascii="Arial" w:hAnsi="Arial"/>
          <w:b/>
          <w:color w:val="F59E0B"/>
          <w:sz w:val="30"/>
        </w:rPr>
        <w:t>Participant Challenge Handbook</w:t>
      </w:r>
    </w:p>
    <w:p>
      <w:pPr>
        <w:spacing w:before="320"/>
        <w:jc w:val="center"/>
      </w:pPr>
      <w:r>
        <w:rPr>
          <w:rFonts w:ascii="Arial" w:hAnsi="Arial"/>
          <w:b/>
          <w:color w:val="1F2937"/>
          <w:sz w:val="22"/>
        </w:rPr>
        <w:t>SDG 7: Affordable and Clean Energy  |  SDG 13: Climate Action</w:t>
      </w:r>
    </w:p>
    <w:tbl>
      <w:tblPr>
        <w:tblW w:type="auto" w:w="0"/>
        <w:jc w:val="center"/>
        <w:tblLayout w:type="fixed"/>
        <w:tblLook w:firstColumn="1" w:firstRow="1" w:lastColumn="0" w:lastRow="0" w:noHBand="0" w:noVBand="1" w:val="04A0"/>
      </w:tblPr>
      <w:tblGrid>
        <w:gridCol w:w="8352"/>
      </w:tblGrid>
      <w:tr>
        <w:tc>
          <w:tcPr>
            <w:tcW w:type="dxa" w:w="9749"/>
            <w:shd w:fill="F0FDF4"/>
            <w:tcBorders>
              <w:top w:val="single" w:sz="10" w:color="166534"/>
              <w:left w:val="single" w:sz="10" w:color="166534"/>
              <w:bottom w:val="single" w:sz="10" w:color="166534"/>
              <w:right w:val="single" w:sz="10" w:color="166534"/>
            </w:tcBorders>
          </w:tcPr>
          <w:p>
            <w:pPr>
              <w:jc w:val="center"/>
            </w:pPr>
            <w:r>
              <w:rPr>
                <w:rFonts w:ascii="Arial" w:hAnsi="Arial"/>
                <w:b/>
                <w:color w:val="166534"/>
                <w:sz w:val="20"/>
              </w:rPr>
              <w:t>PARTICIPANT DOCUMENT</w:t>
            </w:r>
          </w:p>
        </w:tc>
      </w:tr>
    </w:tbl>
    <w:p/>
    <w:p>
      <w:pPr>
        <w:jc w:val="center"/>
      </w:pPr>
      <w:r>
        <w:rPr>
          <w:rFonts w:ascii="Arial" w:hAnsi="Arial"/>
          <w:b/>
          <w:color w:val="1F2937"/>
          <w:sz w:val="24"/>
        </w:rPr>
        <w:t>48-Hour Product Development Challenge</w:t>
      </w:r>
    </w:p>
    <w:p>
      <w:r>
        <w:br w:type="page"/>
      </w:r>
    </w:p>
    <w:p>
      <w:pPr>
        <w:pStyle w:val="Heading1"/>
      </w:pPr>
      <w:r>
        <w:t>1. Challenge at a Glance</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2232"/>
            <w:shd w:fill="166534"/>
            <w:vAlign w:val="center"/>
          </w:tcPr>
          <w:p>
            <w:pPr>
              <w:jc w:val="center"/>
            </w:pPr>
            <w:r>
              <w:rPr>
                <w:rFonts w:ascii="Arial" w:hAnsi="Arial"/>
                <w:b/>
                <w:color w:val="FFFFFF"/>
                <w:sz w:val="17"/>
              </w:rPr>
              <w:t>Item</w:t>
            </w:r>
          </w:p>
        </w:tc>
        <w:tc>
          <w:tcPr>
            <w:tcW w:type="dxa" w:w="7344"/>
            <w:shd w:fill="166534"/>
            <w:vAlign w:val="center"/>
          </w:tcPr>
          <w:p>
            <w:pPr>
              <w:jc w:val="center"/>
            </w:pPr>
            <w:r>
              <w:rPr>
                <w:rFonts w:ascii="Arial" w:hAnsi="Arial"/>
                <w:b/>
                <w:color w:val="FFFFFF"/>
                <w:sz w:val="17"/>
              </w:rPr>
              <w:t>Requirement</w:t>
            </w:r>
          </w:p>
        </w:tc>
      </w:tr>
      <w:tr>
        <w:trPr>
          <w:cantSplit/>
        </w:trPr>
        <w:tc>
          <w:tcPr>
            <w:tcW w:type="dxa" w:w="2232"/>
            <w:vAlign w:val="top"/>
          </w:tcPr>
          <w:p>
            <w:pPr>
              <w:jc w:val="left"/>
            </w:pPr>
            <w:r>
              <w:rPr>
                <w:rFonts w:ascii="Arial" w:hAnsi="Arial"/>
                <w:color w:val="1F2937"/>
                <w:sz w:val="17"/>
              </w:rPr>
              <w:t>Challenge</w:t>
            </w:r>
          </w:p>
        </w:tc>
        <w:tc>
          <w:tcPr>
            <w:tcW w:type="dxa" w:w="7344"/>
            <w:vAlign w:val="top"/>
          </w:tcPr>
          <w:p>
            <w:pPr>
              <w:jc w:val="left"/>
            </w:pPr>
            <w:r>
              <w:rPr>
                <w:rFonts w:ascii="Arial" w:hAnsi="Arial"/>
                <w:color w:val="1F2937"/>
                <w:sz w:val="17"/>
              </w:rPr>
              <w:t>Build an intelligent digital platform for affordable, energy-efficient and low-carbon cooling during extreme heat.</w:t>
            </w:r>
          </w:p>
        </w:tc>
      </w:tr>
      <w:tr>
        <w:trPr>
          <w:cantSplit/>
        </w:trPr>
        <w:tc>
          <w:tcPr>
            <w:tcW w:type="dxa" w:w="2232"/>
            <w:shd w:fill="F9FAFB"/>
            <w:vAlign w:val="top"/>
          </w:tcPr>
          <w:p>
            <w:pPr>
              <w:jc w:val="left"/>
            </w:pPr>
            <w:r>
              <w:rPr>
                <w:rFonts w:ascii="Arial" w:hAnsi="Arial"/>
                <w:color w:val="1F2937"/>
                <w:sz w:val="17"/>
              </w:rPr>
              <w:t>Duration</w:t>
            </w:r>
          </w:p>
        </w:tc>
        <w:tc>
          <w:tcPr>
            <w:tcW w:type="dxa" w:w="7344"/>
            <w:shd w:fill="F9FAFB"/>
            <w:vAlign w:val="top"/>
          </w:tcPr>
          <w:p>
            <w:pPr>
              <w:jc w:val="left"/>
            </w:pPr>
            <w:r>
              <w:rPr>
                <w:rFonts w:ascii="Arial" w:hAnsi="Arial"/>
                <w:color w:val="1F2937"/>
                <w:sz w:val="17"/>
              </w:rPr>
              <w:t>48 consecutive hours</w:t>
            </w:r>
          </w:p>
        </w:tc>
      </w:tr>
      <w:tr>
        <w:trPr>
          <w:cantSplit/>
        </w:trPr>
        <w:tc>
          <w:tcPr>
            <w:tcW w:type="dxa" w:w="2232"/>
            <w:vAlign w:val="top"/>
          </w:tcPr>
          <w:p>
            <w:pPr>
              <w:jc w:val="left"/>
            </w:pPr>
            <w:r>
              <w:rPr>
                <w:rFonts w:ascii="Arial" w:hAnsi="Arial"/>
                <w:color w:val="1F2937"/>
                <w:sz w:val="17"/>
              </w:rPr>
              <w:t>Permitted platforms</w:t>
            </w:r>
          </w:p>
        </w:tc>
        <w:tc>
          <w:tcPr>
            <w:tcW w:type="dxa" w:w="7344"/>
            <w:vAlign w:val="top"/>
          </w:tcPr>
          <w:p>
            <w:pPr>
              <w:jc w:val="left"/>
            </w:pPr>
            <w:r>
              <w:rPr>
                <w:rFonts w:ascii="Arial" w:hAnsi="Arial"/>
                <w:color w:val="1F2937"/>
                <w:sz w:val="17"/>
              </w:rPr>
              <w:t>Web, mobile, desktop, progressive web application, cross-platform application or IoT-enabled software platform</w:t>
            </w:r>
          </w:p>
        </w:tc>
      </w:tr>
      <w:tr>
        <w:trPr>
          <w:cantSplit/>
        </w:trPr>
        <w:tc>
          <w:tcPr>
            <w:tcW w:type="dxa" w:w="2232"/>
            <w:shd w:fill="F9FAFB"/>
            <w:vAlign w:val="top"/>
          </w:tcPr>
          <w:p>
            <w:pPr>
              <w:jc w:val="left"/>
            </w:pPr>
            <w:r>
              <w:rPr>
                <w:rFonts w:ascii="Arial" w:hAnsi="Arial"/>
                <w:color w:val="1F2937"/>
                <w:sz w:val="17"/>
              </w:rPr>
              <w:t>Required core</w:t>
            </w:r>
          </w:p>
        </w:tc>
        <w:tc>
          <w:tcPr>
            <w:tcW w:type="dxa" w:w="7344"/>
            <w:shd w:fill="F9FAFB"/>
            <w:vAlign w:val="top"/>
          </w:tcPr>
          <w:p>
            <w:pPr>
              <w:jc w:val="left"/>
            </w:pPr>
            <w:r>
              <w:rPr>
                <w:rFonts w:ascii="Arial" w:hAnsi="Arial"/>
                <w:color w:val="1F2937"/>
                <w:sz w:val="17"/>
              </w:rPr>
              <w:t>Dynamic baseline calculation, 24-hour optimization, measurable energy/cost/carbon outputs and explainable recommendations</w:t>
            </w:r>
          </w:p>
        </w:tc>
      </w:tr>
      <w:tr>
        <w:trPr>
          <w:cantSplit/>
        </w:trPr>
        <w:tc>
          <w:tcPr>
            <w:tcW w:type="dxa" w:w="2232"/>
            <w:vAlign w:val="top"/>
          </w:tcPr>
          <w:p>
            <w:pPr>
              <w:jc w:val="left"/>
            </w:pPr>
            <w:r>
              <w:rPr>
                <w:rFonts w:ascii="Arial" w:hAnsi="Arial"/>
                <w:color w:val="1F2937"/>
                <w:sz w:val="17"/>
              </w:rPr>
              <w:t>Required data</w:t>
            </w:r>
          </w:p>
        </w:tc>
        <w:tc>
          <w:tcPr>
            <w:tcW w:type="dxa" w:w="7344"/>
            <w:vAlign w:val="top"/>
          </w:tcPr>
          <w:p>
            <w:pPr>
              <w:jc w:val="left"/>
            </w:pPr>
            <w:r>
              <w:rPr>
                <w:rFonts w:ascii="Arial" w:hAnsi="Arial"/>
                <w:color w:val="1F2937"/>
                <w:sz w:val="17"/>
              </w:rPr>
              <w:t>Organizer-supplied public dataset plus one team-created custom scenario</w:t>
            </w:r>
          </w:p>
        </w:tc>
      </w:tr>
      <w:tr>
        <w:trPr>
          <w:cantSplit/>
        </w:trPr>
        <w:tc>
          <w:tcPr>
            <w:tcW w:type="dxa" w:w="2232"/>
            <w:shd w:fill="F9FAFB"/>
            <w:vAlign w:val="top"/>
          </w:tcPr>
          <w:p>
            <w:pPr>
              <w:jc w:val="left"/>
            </w:pPr>
            <w:r>
              <w:rPr>
                <w:rFonts w:ascii="Arial" w:hAnsi="Arial"/>
                <w:color w:val="1F2937"/>
                <w:sz w:val="17"/>
              </w:rPr>
              <w:t>Mandatory demonstration</w:t>
            </w:r>
          </w:p>
        </w:tc>
        <w:tc>
          <w:tcPr>
            <w:tcW w:type="dxa" w:w="7344"/>
            <w:shd w:fill="F9FAFB"/>
            <w:vAlign w:val="top"/>
          </w:tcPr>
          <w:p>
            <w:pPr>
              <w:jc w:val="left"/>
            </w:pPr>
            <w:r>
              <w:rPr>
                <w:rFonts w:ascii="Arial" w:hAnsi="Arial"/>
                <w:color w:val="1F2937"/>
                <w:sz w:val="17"/>
              </w:rPr>
              <w:t>Three public scenarios, one custom scenario and an unseen judge case</w:t>
            </w:r>
          </w:p>
        </w:tc>
      </w:tr>
      <w:tr>
        <w:trPr>
          <w:cantSplit/>
        </w:trPr>
        <w:tc>
          <w:tcPr>
            <w:tcW w:type="dxa" w:w="2232"/>
            <w:vAlign w:val="top"/>
          </w:tcPr>
          <w:p>
            <w:pPr>
              <w:jc w:val="left"/>
            </w:pPr>
            <w:r>
              <w:rPr>
                <w:rFonts w:ascii="Arial" w:hAnsi="Arial"/>
                <w:color w:val="1F2937"/>
                <w:sz w:val="17"/>
              </w:rPr>
              <w:t>Team responsibility</w:t>
            </w:r>
          </w:p>
        </w:tc>
        <w:tc>
          <w:tcPr>
            <w:tcW w:type="dxa" w:w="7344"/>
            <w:vAlign w:val="top"/>
          </w:tcPr>
          <w:p>
            <w:pPr>
              <w:jc w:val="left"/>
            </w:pPr>
            <w:r>
              <w:rPr>
                <w:rFonts w:ascii="Arial" w:hAnsi="Arial"/>
                <w:color w:val="1F2937"/>
                <w:sz w:val="17"/>
              </w:rPr>
              <w:t>Build, integrate, customize, test, document and demonstrate a functional solution</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Final Challenge Question</w:t>
              <w:br/>
            </w:r>
            <w:r>
              <w:rPr>
                <w:rFonts w:ascii="Arial" w:hAnsi="Arial"/>
                <w:color w:val="1F2937"/>
                <w:sz w:val="19"/>
              </w:rPr>
              <w:t>How can a digital platform maintain safe and comfortable indoor conditions during extreme heat while reducing electricity cost, peak-hour energy demand and carbon emissions?</w:t>
            </w:r>
          </w:p>
        </w:tc>
      </w:tr>
    </w:tbl>
    <w:p>
      <w:pPr>
        <w:spacing w:after="0"/>
      </w:pPr>
    </w:p>
    <w:p>
      <w:pPr>
        <w:pStyle w:val="Heading1"/>
      </w:pPr>
      <w:r>
        <w:t>2. Background</w:t>
      </w:r>
    </w:p>
    <w:p>
      <w:r>
        <w:t>Cooling is becoming increasingly important for health, education, productivity and daily life. At the same time, inefficient cooling increases electricity bills, grid demand and emissions. CoolShift asks teams to build a decision and optimization platform—not merely an awareness website—that helps a defined user operate cooling appliances more intelligently.</w:t>
      </w:r>
    </w:p>
    <w:p>
      <w:pPr>
        <w:pStyle w:val="ListBullet"/>
        <w:spacing w:after="60"/>
      </w:pPr>
      <w:r>
        <w:rPr>
          <w:rFonts w:ascii="Arial" w:hAnsi="Arial"/>
          <w:color w:val="1F2937"/>
        </w:rPr>
        <w:t>High temperatures and humidity can create unsafe indoor conditions.</w:t>
      </w:r>
    </w:p>
    <w:p>
      <w:pPr>
        <w:pStyle w:val="ListBullet"/>
        <w:spacing w:after="60"/>
      </w:pPr>
      <w:r>
        <w:rPr>
          <w:rFonts w:ascii="Arial" w:hAnsi="Arial"/>
          <w:color w:val="1F2937"/>
        </w:rPr>
        <w:t>Air conditioners and fans may be operated without considering occupancy, tariffs, solar production, battery limits or outages.</w:t>
      </w:r>
    </w:p>
    <w:p>
      <w:pPr>
        <w:pStyle w:val="ListBullet"/>
        <w:spacing w:after="60"/>
      </w:pPr>
      <w:r>
        <w:rPr>
          <w:rFonts w:ascii="Arial" w:hAnsi="Arial"/>
          <w:color w:val="1F2937"/>
        </w:rPr>
        <w:t>Users often cannot compare their existing usage with a safer and more economical alternative.</w:t>
      </w:r>
    </w:p>
    <w:p>
      <w:pPr>
        <w:pStyle w:val="ListBullet"/>
        <w:spacing w:after="60"/>
      </w:pPr>
      <w:r>
        <w:rPr>
          <w:rFonts w:ascii="Arial" w:hAnsi="Arial"/>
          <w:color w:val="1F2937"/>
        </w:rPr>
        <w:t>A practical digital solution should convert raw environmental and energy data into an actionable schedule.</w:t>
      </w:r>
    </w:p>
    <w:p>
      <w:pPr>
        <w:pStyle w:val="Heading1"/>
      </w:pPr>
      <w:r>
        <w:t>3. Objective</w:t>
      </w:r>
    </w:p>
    <w:p>
      <w:r>
        <w:t>Build a working platform that accepts user and environmental inputs, estimates baseline cooling performance, generates an optimized 24-hour plan and reports the resulting comfort, energy, financial and environmental impact.</w:t>
      </w:r>
    </w:p>
    <w:p>
      <w:r>
        <w:t>The solution must balance four objectives:</w:t>
      </w:r>
    </w:p>
    <w:p>
      <w:pPr>
        <w:pStyle w:val="ListBullet"/>
        <w:spacing w:after="60"/>
      </w:pPr>
      <w:r>
        <w:rPr>
          <w:rFonts w:ascii="Arial" w:hAnsi="Arial"/>
          <w:b/>
          <w:color w:val="1F2937"/>
        </w:rPr>
        <w:t xml:space="preserve">Comfort and safety: </w:t>
      </w:r>
      <w:r>
        <w:rPr>
          <w:rFonts w:ascii="Arial" w:hAnsi="Arial"/>
          <w:color w:val="1F2937"/>
        </w:rPr>
        <w:t>Maintain the selected indoor comfort range during occupied periods and explicitly identify unavoidable unsafe periods.</w:t>
      </w:r>
    </w:p>
    <w:p>
      <w:pPr>
        <w:pStyle w:val="ListBullet"/>
        <w:spacing w:after="60"/>
      </w:pPr>
      <w:r>
        <w:rPr>
          <w:rFonts w:ascii="Arial" w:hAnsi="Arial"/>
          <w:b/>
          <w:color w:val="1F2937"/>
        </w:rPr>
        <w:t xml:space="preserve">Affordability: </w:t>
      </w:r>
      <w:r>
        <w:rPr>
          <w:rFonts w:ascii="Arial" w:hAnsi="Arial"/>
          <w:color w:val="1F2937"/>
        </w:rPr>
        <w:t>Reduce total electricity cost and avoid unnecessary use during expensive periods.</w:t>
      </w:r>
    </w:p>
    <w:p>
      <w:pPr>
        <w:pStyle w:val="ListBullet"/>
        <w:spacing w:after="60"/>
      </w:pPr>
      <w:r>
        <w:rPr>
          <w:rFonts w:ascii="Arial" w:hAnsi="Arial"/>
          <w:b/>
          <w:color w:val="1F2937"/>
        </w:rPr>
        <w:t xml:space="preserve">Clean-energy use: </w:t>
      </w:r>
      <w:r>
        <w:rPr>
          <w:rFonts w:ascii="Arial" w:hAnsi="Arial"/>
          <w:color w:val="1F2937"/>
        </w:rPr>
        <w:t>Use available solar and battery resources without violating capacity or reserve constraints.</w:t>
      </w:r>
    </w:p>
    <w:p>
      <w:pPr>
        <w:pStyle w:val="ListBullet"/>
        <w:spacing w:after="60"/>
      </w:pPr>
      <w:r>
        <w:rPr>
          <w:rFonts w:ascii="Arial" w:hAnsi="Arial"/>
          <w:b/>
          <w:color w:val="1F2937"/>
        </w:rPr>
        <w:t xml:space="preserve">Climate impact: </w:t>
      </w:r>
      <w:r>
        <w:rPr>
          <w:rFonts w:ascii="Arial" w:hAnsi="Arial"/>
          <w:color w:val="1F2937"/>
        </w:rPr>
        <w:t>Reduce grid electricity use, peak demand and associated carbon emissions.</w:t>
      </w:r>
    </w:p>
    <w:p>
      <w:pPr>
        <w:pStyle w:val="Heading1"/>
      </w:pPr>
      <w:r>
        <w:t>4. Eligible Product Formats</w:t>
      </w:r>
    </w:p>
    <w:p>
      <w:pPr>
        <w:pStyle w:val="ListBullet"/>
        <w:spacing w:after="60"/>
      </w:pPr>
      <w:r>
        <w:rPr>
          <w:rFonts w:ascii="Arial" w:hAnsi="Arial"/>
          <w:color w:val="1F2937"/>
        </w:rPr>
        <w:t>Responsive web application</w:t>
      </w:r>
    </w:p>
    <w:p>
      <w:pPr>
        <w:pStyle w:val="ListBullet"/>
        <w:spacing w:after="60"/>
      </w:pPr>
      <w:r>
        <w:rPr>
          <w:rFonts w:ascii="Arial" w:hAnsi="Arial"/>
          <w:color w:val="1F2937"/>
        </w:rPr>
        <w:t>Mobile application</w:t>
      </w:r>
    </w:p>
    <w:p>
      <w:pPr>
        <w:pStyle w:val="ListBullet"/>
        <w:spacing w:after="60"/>
      </w:pPr>
      <w:r>
        <w:rPr>
          <w:rFonts w:ascii="Arial" w:hAnsi="Arial"/>
          <w:color w:val="1F2937"/>
        </w:rPr>
        <w:t>Desktop application</w:t>
      </w:r>
    </w:p>
    <w:p>
      <w:pPr>
        <w:pStyle w:val="ListBullet"/>
        <w:spacing w:after="60"/>
      </w:pPr>
      <w:r>
        <w:rPr>
          <w:rFonts w:ascii="Arial" w:hAnsi="Arial"/>
          <w:color w:val="1F2937"/>
        </w:rPr>
        <w:t>Progressive web application</w:t>
      </w:r>
    </w:p>
    <w:p>
      <w:pPr>
        <w:pStyle w:val="ListBullet"/>
        <w:spacing w:after="60"/>
      </w:pPr>
      <w:r>
        <w:rPr>
          <w:rFonts w:ascii="Arial" w:hAnsi="Arial"/>
          <w:color w:val="1F2937"/>
        </w:rPr>
        <w:t>Cross-platform application</w:t>
      </w:r>
    </w:p>
    <w:p>
      <w:pPr>
        <w:pStyle w:val="ListBullet"/>
        <w:spacing w:after="60"/>
      </w:pPr>
      <w:r>
        <w:rPr>
          <w:rFonts w:ascii="Arial" w:hAnsi="Arial"/>
          <w:color w:val="1F2937"/>
        </w:rPr>
        <w:t>IoT-enabled software platform</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Important</w:t>
              <w:br/>
            </w:r>
            <w:r>
              <w:rPr>
                <w:rFonts w:ascii="Arial" w:hAnsi="Arial"/>
                <w:color w:val="1F2937"/>
                <w:sz w:val="19"/>
              </w:rPr>
              <w:t>Teams are required to deliver one complete, reliable platform. Separate native applications for web, desktop and mobile are not mandatory.</w:t>
            </w:r>
          </w:p>
        </w:tc>
      </w:tr>
    </w:tbl>
    <w:p>
      <w:pPr>
        <w:spacing w:after="0"/>
      </w:pPr>
    </w:p>
    <w:p>
      <w:pPr>
        <w:pStyle w:val="Heading1"/>
      </w:pPr>
      <w:r>
        <w:t>5. Required Target User</w:t>
      </w:r>
    </w:p>
    <w:p>
      <w:r>
        <w:t>Each team must select and clearly define one primary target user. The provided public scenarios represent common use cases, but teams may position the product for a wider market.</w:t>
      </w:r>
    </w:p>
    <w:p>
      <w:pPr>
        <w:pStyle w:val="ListBullet"/>
        <w:spacing w:after="60"/>
      </w:pPr>
      <w:r>
        <w:rPr>
          <w:rFonts w:ascii="Arial" w:hAnsi="Arial"/>
          <w:color w:val="1F2937"/>
        </w:rPr>
        <w:t>Households</w:t>
      </w:r>
    </w:p>
    <w:p>
      <w:pPr>
        <w:pStyle w:val="ListBullet"/>
        <w:spacing w:after="60"/>
      </w:pPr>
      <w:r>
        <w:rPr>
          <w:rFonts w:ascii="Arial" w:hAnsi="Arial"/>
          <w:color w:val="1F2937"/>
        </w:rPr>
        <w:t>Low-income households</w:t>
      </w:r>
    </w:p>
    <w:p>
      <w:pPr>
        <w:pStyle w:val="ListBullet"/>
        <w:spacing w:after="60"/>
      </w:pPr>
      <w:r>
        <w:rPr>
          <w:rFonts w:ascii="Arial" w:hAnsi="Arial"/>
          <w:color w:val="1F2937"/>
        </w:rPr>
        <w:t>Schools and classrooms</w:t>
      </w:r>
    </w:p>
    <w:p>
      <w:pPr>
        <w:pStyle w:val="ListBullet"/>
        <w:spacing w:after="60"/>
      </w:pPr>
      <w:r>
        <w:rPr>
          <w:rFonts w:ascii="Arial" w:hAnsi="Arial"/>
          <w:color w:val="1F2937"/>
        </w:rPr>
        <w:t>Small offices</w:t>
      </w:r>
    </w:p>
    <w:p>
      <w:pPr>
        <w:pStyle w:val="ListBullet"/>
        <w:spacing w:after="60"/>
      </w:pPr>
      <w:r>
        <w:rPr>
          <w:rFonts w:ascii="Arial" w:hAnsi="Arial"/>
          <w:color w:val="1F2937"/>
        </w:rPr>
        <w:t>Clinics</w:t>
      </w:r>
    </w:p>
    <w:p>
      <w:pPr>
        <w:pStyle w:val="ListBullet"/>
        <w:spacing w:after="60"/>
      </w:pPr>
      <w:r>
        <w:rPr>
          <w:rFonts w:ascii="Arial" w:hAnsi="Arial"/>
          <w:color w:val="1F2937"/>
        </w:rPr>
        <w:t>Retail shops</w:t>
      </w:r>
    </w:p>
    <w:p>
      <w:pPr>
        <w:pStyle w:val="ListBullet"/>
        <w:spacing w:after="60"/>
      </w:pPr>
      <w:r>
        <w:rPr>
          <w:rFonts w:ascii="Arial" w:hAnsi="Arial"/>
          <w:color w:val="1F2937"/>
        </w:rPr>
        <w:t>Hostels</w:t>
      </w:r>
    </w:p>
    <w:p>
      <w:pPr>
        <w:pStyle w:val="ListBullet"/>
        <w:spacing w:after="60"/>
      </w:pPr>
      <w:r>
        <w:rPr>
          <w:rFonts w:ascii="Arial" w:hAnsi="Arial"/>
          <w:color w:val="1F2937"/>
        </w:rPr>
        <w:t>Community centres</w:t>
      </w:r>
    </w:p>
    <w:p>
      <w:pPr>
        <w:pStyle w:val="ListBullet"/>
        <w:spacing w:after="60"/>
      </w:pPr>
      <w:r>
        <w:rPr>
          <w:rFonts w:ascii="Arial" w:hAnsi="Arial"/>
          <w:color w:val="1F2937"/>
        </w:rPr>
        <w:t>Small businesses or building managers</w:t>
      </w:r>
    </w:p>
    <w:p>
      <w:pPr>
        <w:pStyle w:val="Heading1"/>
      </w:pPr>
      <w:r>
        <w:t>6. Mandatory End-to-End Workflow</w:t>
      </w:r>
    </w:p>
    <w:p>
      <w:pPr>
        <w:spacing w:after="60"/>
        <w:ind w:left="259" w:hanging="259"/>
      </w:pPr>
      <w:r>
        <w:rPr>
          <w:rFonts w:ascii="Arial" w:hAnsi="Arial"/>
          <w:b/>
          <w:color w:val="1F2937"/>
        </w:rPr>
        <w:t xml:space="preserve">1. </w:t>
      </w:r>
      <w:r>
        <w:rPr>
          <w:rFonts w:ascii="Arial" w:hAnsi="Arial"/>
          <w:color w:val="1F2937"/>
        </w:rPr>
        <w:t>Create or select a user and building profile.</w:t>
      </w:r>
    </w:p>
    <w:p>
      <w:pPr>
        <w:spacing w:after="60"/>
        <w:ind w:left="259" w:hanging="259"/>
      </w:pPr>
      <w:r>
        <w:rPr>
          <w:rFonts w:ascii="Arial" w:hAnsi="Arial"/>
          <w:b/>
          <w:color w:val="1F2937"/>
        </w:rPr>
        <w:t xml:space="preserve">2. </w:t>
      </w:r>
      <w:r>
        <w:rPr>
          <w:rFonts w:ascii="Arial" w:hAnsi="Arial"/>
          <w:color w:val="1F2937"/>
        </w:rPr>
        <w:t>Import or retrieve weather, tariff, occupancy, solar, battery and outage information.</w:t>
      </w:r>
    </w:p>
    <w:p>
      <w:pPr>
        <w:spacing w:after="60"/>
        <w:ind w:left="259" w:hanging="259"/>
      </w:pPr>
      <w:r>
        <w:rPr>
          <w:rFonts w:ascii="Arial" w:hAnsi="Arial"/>
          <w:b/>
          <w:color w:val="1F2937"/>
        </w:rPr>
        <w:t xml:space="preserve">3. </w:t>
      </w:r>
      <w:r>
        <w:rPr>
          <w:rFonts w:ascii="Arial" w:hAnsi="Arial"/>
          <w:color w:val="1F2937"/>
        </w:rPr>
        <w:t>Validate all required inputs and clearly report missing or invalid values.</w:t>
      </w:r>
    </w:p>
    <w:p>
      <w:pPr>
        <w:spacing w:after="60"/>
        <w:ind w:left="259" w:hanging="259"/>
      </w:pPr>
      <w:r>
        <w:rPr>
          <w:rFonts w:ascii="Arial" w:hAnsi="Arial"/>
          <w:b/>
          <w:color w:val="1F2937"/>
        </w:rPr>
        <w:t xml:space="preserve">4. </w:t>
      </w:r>
      <w:r>
        <w:rPr>
          <w:rFonts w:ascii="Arial" w:hAnsi="Arial"/>
          <w:color w:val="1F2937"/>
        </w:rPr>
        <w:t>Calculate the baseline cooling schedule, energy use, cost, peak demand and carbon emissions.</w:t>
      </w:r>
    </w:p>
    <w:p>
      <w:pPr>
        <w:spacing w:after="60"/>
        <w:ind w:left="259" w:hanging="259"/>
      </w:pPr>
      <w:r>
        <w:rPr>
          <w:rFonts w:ascii="Arial" w:hAnsi="Arial"/>
          <w:b/>
          <w:color w:val="1F2937"/>
        </w:rPr>
        <w:t xml:space="preserve">5. </w:t>
      </w:r>
      <w:r>
        <w:rPr>
          <w:rFonts w:ascii="Arial" w:hAnsi="Arial"/>
          <w:color w:val="1F2937"/>
        </w:rPr>
        <w:t>Generate an optimized 24-hour cooling schedule at 15-minute resolution.</w:t>
      </w:r>
    </w:p>
    <w:p>
      <w:pPr>
        <w:spacing w:after="60"/>
        <w:ind w:left="259" w:hanging="259"/>
      </w:pPr>
      <w:r>
        <w:rPr>
          <w:rFonts w:ascii="Arial" w:hAnsi="Arial"/>
          <w:b/>
          <w:color w:val="1F2937"/>
        </w:rPr>
        <w:t xml:space="preserve">6. </w:t>
      </w:r>
      <w:r>
        <w:rPr>
          <w:rFonts w:ascii="Arial" w:hAnsi="Arial"/>
          <w:color w:val="1F2937"/>
        </w:rPr>
        <w:t>Apply hard constraints for comfort, appliance capacity, grid availability, battery reserve and energy balance.</w:t>
      </w:r>
    </w:p>
    <w:p>
      <w:pPr>
        <w:spacing w:after="60"/>
        <w:ind w:left="259" w:hanging="259"/>
      </w:pPr>
      <w:r>
        <w:rPr>
          <w:rFonts w:ascii="Arial" w:hAnsi="Arial"/>
          <w:b/>
          <w:color w:val="1F2937"/>
        </w:rPr>
        <w:t xml:space="preserve">7. </w:t>
      </w:r>
      <w:r>
        <w:rPr>
          <w:rFonts w:ascii="Arial" w:hAnsi="Arial"/>
          <w:color w:val="1F2937"/>
        </w:rPr>
        <w:t>Compare baseline and optimized performance.</w:t>
      </w:r>
    </w:p>
    <w:p>
      <w:pPr>
        <w:spacing w:after="60"/>
        <w:ind w:left="259" w:hanging="259"/>
      </w:pPr>
      <w:r>
        <w:rPr>
          <w:rFonts w:ascii="Arial" w:hAnsi="Arial"/>
          <w:b/>
          <w:color w:val="1F2937"/>
        </w:rPr>
        <w:t xml:space="preserve">8. </w:t>
      </w:r>
      <w:r>
        <w:rPr>
          <w:rFonts w:ascii="Arial" w:hAnsi="Arial"/>
          <w:color w:val="1F2937"/>
        </w:rPr>
        <w:t>Explain major recommendations and warnings in understandable language.</w:t>
      </w:r>
    </w:p>
    <w:p>
      <w:pPr>
        <w:spacing w:after="60"/>
        <w:ind w:left="259" w:hanging="259"/>
      </w:pPr>
      <w:r>
        <w:rPr>
          <w:rFonts w:ascii="Arial" w:hAnsi="Arial"/>
          <w:b/>
          <w:color w:val="1F2937"/>
        </w:rPr>
        <w:t xml:space="preserve">9. </w:t>
      </w:r>
      <w:r>
        <w:rPr>
          <w:rFonts w:ascii="Arial" w:hAnsi="Arial"/>
          <w:color w:val="1F2937"/>
        </w:rPr>
        <w:t>Save the run and allow the result to be reviewed or exported.</w:t>
      </w:r>
    </w:p>
    <w:p>
      <w:pPr>
        <w:spacing w:after="60"/>
        <w:ind w:left="259" w:hanging="259"/>
      </w:pPr>
      <w:r>
        <w:rPr>
          <w:rFonts w:ascii="Arial" w:hAnsi="Arial"/>
          <w:b/>
          <w:color w:val="1F2937"/>
        </w:rPr>
        <w:t xml:space="preserve">10. </w:t>
      </w:r>
      <w:r>
        <w:rPr>
          <w:rFonts w:ascii="Arial" w:hAnsi="Arial"/>
          <w:color w:val="1F2937"/>
        </w:rPr>
        <w:t>Recalculate dynamically when judges change the input values.</w:t>
      </w:r>
    </w:p>
    <w:p>
      <w:pPr>
        <w:pStyle w:val="Heading1"/>
      </w:pPr>
      <w:r>
        <w:t>7. Mandatory Functional Modules</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2232"/>
            <w:shd w:fill="166534"/>
            <w:vAlign w:val="center"/>
          </w:tcPr>
          <w:p>
            <w:pPr>
              <w:jc w:val="center"/>
            </w:pPr>
            <w:r>
              <w:rPr>
                <w:rFonts w:ascii="Arial" w:hAnsi="Arial"/>
                <w:b/>
                <w:color w:val="FFFFFF"/>
                <w:sz w:val="17"/>
              </w:rPr>
              <w:t>Module</w:t>
            </w:r>
          </w:p>
        </w:tc>
        <w:tc>
          <w:tcPr>
            <w:tcW w:type="dxa" w:w="7344"/>
            <w:shd w:fill="166534"/>
            <w:vAlign w:val="center"/>
          </w:tcPr>
          <w:p>
            <w:pPr>
              <w:jc w:val="center"/>
            </w:pPr>
            <w:r>
              <w:rPr>
                <w:rFonts w:ascii="Arial" w:hAnsi="Arial"/>
                <w:b/>
                <w:color w:val="FFFFFF"/>
                <w:sz w:val="17"/>
              </w:rPr>
              <w:t>Minimum expectation</w:t>
            </w:r>
          </w:p>
        </w:tc>
      </w:tr>
      <w:tr>
        <w:trPr>
          <w:cantSplit/>
        </w:trPr>
        <w:tc>
          <w:tcPr>
            <w:tcW w:type="dxa" w:w="2232"/>
            <w:vAlign w:val="top"/>
          </w:tcPr>
          <w:p>
            <w:pPr>
              <w:jc w:val="left"/>
            </w:pPr>
            <w:r>
              <w:rPr>
                <w:rFonts w:ascii="Arial" w:hAnsi="Arial"/>
                <w:color w:val="1F2937"/>
                <w:sz w:val="17"/>
              </w:rPr>
              <w:t>User and Building Profiles</w:t>
            </w:r>
          </w:p>
        </w:tc>
        <w:tc>
          <w:tcPr>
            <w:tcW w:type="dxa" w:w="7344"/>
            <w:vAlign w:val="top"/>
          </w:tcPr>
          <w:p>
            <w:pPr>
              <w:jc w:val="left"/>
            </w:pPr>
            <w:r>
              <w:rPr>
                <w:rFonts w:ascii="Arial" w:hAnsi="Arial"/>
                <w:color w:val="1F2937"/>
                <w:sz w:val="17"/>
              </w:rPr>
              <w:t>Create, edit and save at least one user, one building/space and its cooling assets.</w:t>
            </w:r>
          </w:p>
        </w:tc>
      </w:tr>
      <w:tr>
        <w:trPr>
          <w:cantSplit/>
        </w:trPr>
        <w:tc>
          <w:tcPr>
            <w:tcW w:type="dxa" w:w="2232"/>
            <w:shd w:fill="F9FAFB"/>
            <w:vAlign w:val="top"/>
          </w:tcPr>
          <w:p>
            <w:pPr>
              <w:jc w:val="left"/>
            </w:pPr>
            <w:r>
              <w:rPr>
                <w:rFonts w:ascii="Arial" w:hAnsi="Arial"/>
                <w:color w:val="1F2937"/>
                <w:sz w:val="17"/>
              </w:rPr>
              <w:t>Data Import and Validation</w:t>
            </w:r>
          </w:p>
        </w:tc>
        <w:tc>
          <w:tcPr>
            <w:tcW w:type="dxa" w:w="7344"/>
            <w:shd w:fill="F9FAFB"/>
            <w:vAlign w:val="top"/>
          </w:tcPr>
          <w:p>
            <w:pPr>
              <w:jc w:val="left"/>
            </w:pPr>
            <w:r>
              <w:rPr>
                <w:rFonts w:ascii="Arial" w:hAnsi="Arial"/>
                <w:color w:val="1F2937"/>
                <w:sz w:val="17"/>
              </w:rPr>
              <w:t>Read the supplied workbook/CSV structure or equivalent API data; validate units, ranges, missing values and timestamps.</w:t>
            </w:r>
          </w:p>
        </w:tc>
      </w:tr>
      <w:tr>
        <w:trPr>
          <w:cantSplit/>
        </w:trPr>
        <w:tc>
          <w:tcPr>
            <w:tcW w:type="dxa" w:w="2232"/>
            <w:vAlign w:val="top"/>
          </w:tcPr>
          <w:p>
            <w:pPr>
              <w:jc w:val="left"/>
            </w:pPr>
            <w:r>
              <w:rPr>
                <w:rFonts w:ascii="Arial" w:hAnsi="Arial"/>
                <w:color w:val="1F2937"/>
                <w:sz w:val="17"/>
              </w:rPr>
              <w:t>Weather and Heat Analysis</w:t>
            </w:r>
          </w:p>
        </w:tc>
        <w:tc>
          <w:tcPr>
            <w:tcW w:type="dxa" w:w="7344"/>
            <w:vAlign w:val="top"/>
          </w:tcPr>
          <w:p>
            <w:pPr>
              <w:jc w:val="left"/>
            </w:pPr>
            <w:r>
              <w:rPr>
                <w:rFonts w:ascii="Arial" w:hAnsi="Arial"/>
                <w:color w:val="1F2937"/>
                <w:sz w:val="17"/>
              </w:rPr>
              <w:t>Identify hottest periods, humidity effects, heat-risk periods and possible ventilation/solar windows.</w:t>
            </w:r>
          </w:p>
        </w:tc>
      </w:tr>
      <w:tr>
        <w:trPr>
          <w:cantSplit/>
        </w:trPr>
        <w:tc>
          <w:tcPr>
            <w:tcW w:type="dxa" w:w="2232"/>
            <w:shd w:fill="F9FAFB"/>
            <w:vAlign w:val="top"/>
          </w:tcPr>
          <w:p>
            <w:pPr>
              <w:jc w:val="left"/>
            </w:pPr>
            <w:r>
              <w:rPr>
                <w:rFonts w:ascii="Arial" w:hAnsi="Arial"/>
                <w:color w:val="1F2937"/>
                <w:sz w:val="17"/>
              </w:rPr>
              <w:t>Baseline Engine</w:t>
            </w:r>
          </w:p>
        </w:tc>
        <w:tc>
          <w:tcPr>
            <w:tcW w:type="dxa" w:w="7344"/>
            <w:shd w:fill="F9FAFB"/>
            <w:vAlign w:val="top"/>
          </w:tcPr>
          <w:p>
            <w:pPr>
              <w:jc w:val="left"/>
            </w:pPr>
            <w:r>
              <w:rPr>
                <w:rFonts w:ascii="Arial" w:hAnsi="Arial"/>
                <w:color w:val="1F2937"/>
                <w:sz w:val="17"/>
              </w:rPr>
              <w:t>Calculate normal appliance operation, interval energy, daily cost, peak demand, comfort and emissions.</w:t>
            </w:r>
          </w:p>
        </w:tc>
      </w:tr>
      <w:tr>
        <w:trPr>
          <w:cantSplit/>
        </w:trPr>
        <w:tc>
          <w:tcPr>
            <w:tcW w:type="dxa" w:w="2232"/>
            <w:vAlign w:val="top"/>
          </w:tcPr>
          <w:p>
            <w:pPr>
              <w:jc w:val="left"/>
            </w:pPr>
            <w:r>
              <w:rPr>
                <w:rFonts w:ascii="Arial" w:hAnsi="Arial"/>
                <w:color w:val="1F2937"/>
                <w:sz w:val="17"/>
              </w:rPr>
              <w:t>Optimization Engine</w:t>
            </w:r>
          </w:p>
        </w:tc>
        <w:tc>
          <w:tcPr>
            <w:tcW w:type="dxa" w:w="7344"/>
            <w:vAlign w:val="top"/>
          </w:tcPr>
          <w:p>
            <w:pPr>
              <w:jc w:val="left"/>
            </w:pPr>
            <w:r>
              <w:rPr>
                <w:rFonts w:ascii="Arial" w:hAnsi="Arial"/>
                <w:color w:val="1F2937"/>
                <w:sz w:val="17"/>
              </w:rPr>
              <w:t>Generate a constraint-aware 24-hour schedule that balances comfort, cost, energy and emissions.</w:t>
            </w:r>
          </w:p>
        </w:tc>
      </w:tr>
      <w:tr>
        <w:trPr>
          <w:cantSplit/>
        </w:trPr>
        <w:tc>
          <w:tcPr>
            <w:tcW w:type="dxa" w:w="2232"/>
            <w:shd w:fill="F9FAFB"/>
            <w:vAlign w:val="top"/>
          </w:tcPr>
          <w:p>
            <w:pPr>
              <w:jc w:val="left"/>
            </w:pPr>
            <w:r>
              <w:rPr>
                <w:rFonts w:ascii="Arial" w:hAnsi="Arial"/>
                <w:color w:val="1F2937"/>
                <w:sz w:val="17"/>
              </w:rPr>
              <w:t>Clean-Energy Module</w:t>
            </w:r>
          </w:p>
        </w:tc>
        <w:tc>
          <w:tcPr>
            <w:tcW w:type="dxa" w:w="7344"/>
            <w:shd w:fill="F9FAFB"/>
            <w:vAlign w:val="top"/>
          </w:tcPr>
          <w:p>
            <w:pPr>
              <w:jc w:val="left"/>
            </w:pPr>
            <w:r>
              <w:rPr>
                <w:rFonts w:ascii="Arial" w:hAnsi="Arial"/>
                <w:color w:val="1F2937"/>
                <w:sz w:val="17"/>
              </w:rPr>
              <w:t>Model solar production and battery charging/discharging when available.</w:t>
            </w:r>
          </w:p>
        </w:tc>
      </w:tr>
      <w:tr>
        <w:trPr>
          <w:cantSplit/>
        </w:trPr>
        <w:tc>
          <w:tcPr>
            <w:tcW w:type="dxa" w:w="2232"/>
            <w:vAlign w:val="top"/>
          </w:tcPr>
          <w:p>
            <w:pPr>
              <w:jc w:val="left"/>
            </w:pPr>
            <w:r>
              <w:rPr>
                <w:rFonts w:ascii="Arial" w:hAnsi="Arial"/>
                <w:color w:val="1F2937"/>
                <w:sz w:val="17"/>
              </w:rPr>
              <w:t>Outage Handling</w:t>
            </w:r>
          </w:p>
        </w:tc>
        <w:tc>
          <w:tcPr>
            <w:tcW w:type="dxa" w:w="7344"/>
            <w:vAlign w:val="top"/>
          </w:tcPr>
          <w:p>
            <w:pPr>
              <w:jc w:val="left"/>
            </w:pPr>
            <w:r>
              <w:rPr>
                <w:rFonts w:ascii="Arial" w:hAnsi="Arial"/>
                <w:color w:val="1F2937"/>
                <w:sz w:val="17"/>
              </w:rPr>
              <w:t>Respect grid availability and provide a feasible plan during scheduled outages.</w:t>
            </w:r>
          </w:p>
        </w:tc>
      </w:tr>
      <w:tr>
        <w:trPr>
          <w:cantSplit/>
        </w:trPr>
        <w:tc>
          <w:tcPr>
            <w:tcW w:type="dxa" w:w="2232"/>
            <w:shd w:fill="F9FAFB"/>
            <w:vAlign w:val="top"/>
          </w:tcPr>
          <w:p>
            <w:pPr>
              <w:jc w:val="left"/>
            </w:pPr>
            <w:r>
              <w:rPr>
                <w:rFonts w:ascii="Arial" w:hAnsi="Arial"/>
                <w:color w:val="1F2937"/>
                <w:sz w:val="17"/>
              </w:rPr>
              <w:t>Dashboard</w:t>
            </w:r>
          </w:p>
        </w:tc>
        <w:tc>
          <w:tcPr>
            <w:tcW w:type="dxa" w:w="7344"/>
            <w:shd w:fill="F9FAFB"/>
            <w:vAlign w:val="top"/>
          </w:tcPr>
          <w:p>
            <w:pPr>
              <w:jc w:val="left"/>
            </w:pPr>
            <w:r>
              <w:rPr>
                <w:rFonts w:ascii="Arial" w:hAnsi="Arial"/>
                <w:color w:val="1F2937"/>
                <w:sz w:val="17"/>
              </w:rPr>
              <w:t>Show schedules, comparisons, savings, comfort compliance, energy sources and alerts.</w:t>
            </w:r>
          </w:p>
        </w:tc>
      </w:tr>
      <w:tr>
        <w:trPr>
          <w:cantSplit/>
        </w:trPr>
        <w:tc>
          <w:tcPr>
            <w:tcW w:type="dxa" w:w="2232"/>
            <w:vAlign w:val="top"/>
          </w:tcPr>
          <w:p>
            <w:pPr>
              <w:jc w:val="left"/>
            </w:pPr>
            <w:r>
              <w:rPr>
                <w:rFonts w:ascii="Arial" w:hAnsi="Arial"/>
                <w:color w:val="1F2937"/>
                <w:sz w:val="17"/>
              </w:rPr>
              <w:t>Explainability</w:t>
            </w:r>
          </w:p>
        </w:tc>
        <w:tc>
          <w:tcPr>
            <w:tcW w:type="dxa" w:w="7344"/>
            <w:vAlign w:val="top"/>
          </w:tcPr>
          <w:p>
            <w:pPr>
              <w:jc w:val="left"/>
            </w:pPr>
            <w:r>
              <w:rPr>
                <w:rFonts w:ascii="Arial" w:hAnsi="Arial"/>
                <w:color w:val="1F2937"/>
                <w:sz w:val="17"/>
              </w:rPr>
              <w:t>Provide reason codes and natural-language explanations for major schedule decisions.</w:t>
            </w:r>
          </w:p>
        </w:tc>
      </w:tr>
      <w:tr>
        <w:trPr>
          <w:cantSplit/>
        </w:trPr>
        <w:tc>
          <w:tcPr>
            <w:tcW w:type="dxa" w:w="2232"/>
            <w:shd w:fill="F9FAFB"/>
            <w:vAlign w:val="top"/>
          </w:tcPr>
          <w:p>
            <w:pPr>
              <w:jc w:val="left"/>
            </w:pPr>
            <w:r>
              <w:rPr>
                <w:rFonts w:ascii="Arial" w:hAnsi="Arial"/>
                <w:color w:val="1F2937"/>
                <w:sz w:val="17"/>
              </w:rPr>
              <w:t>History and Export</w:t>
            </w:r>
          </w:p>
        </w:tc>
        <w:tc>
          <w:tcPr>
            <w:tcW w:type="dxa" w:w="7344"/>
            <w:shd w:fill="F9FAFB"/>
            <w:vAlign w:val="top"/>
          </w:tcPr>
          <w:p>
            <w:pPr>
              <w:jc w:val="left"/>
            </w:pPr>
            <w:r>
              <w:rPr>
                <w:rFonts w:ascii="Arial" w:hAnsi="Arial"/>
                <w:color w:val="1F2937"/>
                <w:sz w:val="17"/>
              </w:rPr>
              <w:t>Save previous runs and export interval-level output plus summary metrics.</w:t>
            </w:r>
          </w:p>
        </w:tc>
      </w:tr>
    </w:tbl>
    <w:p>
      <w:pPr>
        <w:spacing w:after="0"/>
      </w:pPr>
    </w:p>
    <w:p>
      <w:pPr>
        <w:pStyle w:val="Heading1"/>
      </w:pPr>
      <w:r>
        <w:t>8. Minimum Data Requirement</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Standardized Public Data</w:t>
              <w:br/>
            </w:r>
            <w:r>
              <w:rPr>
                <w:rFonts w:ascii="Arial" w:hAnsi="Arial"/>
                <w:color w:val="1F2937"/>
                <w:sz w:val="19"/>
              </w:rPr>
              <w:t>The organizer will provide three scenarios containing 30 days of 15-minute interval data. This equals 2,880 records per scenario and 8,640 public interval records in total.</w:t>
            </w:r>
          </w:p>
        </w:tc>
      </w:tr>
    </w:tbl>
    <w:p>
      <w:pPr>
        <w:spacing w:after="0"/>
      </w:pPr>
    </w:p>
    <w:p>
      <w:pPr>
        <w:pStyle w:val="ListBullet"/>
        <w:spacing w:after="60"/>
      </w:pPr>
      <w:r>
        <w:rPr>
          <w:rFonts w:ascii="Arial" w:hAnsi="Arial"/>
          <w:color w:val="1F2937"/>
        </w:rPr>
        <w:t>The system must be capable of importing and processing all 8,640 public records.</w:t>
      </w:r>
    </w:p>
    <w:p>
      <w:pPr>
        <w:pStyle w:val="ListBullet"/>
        <w:spacing w:after="60"/>
      </w:pPr>
      <w:r>
        <w:rPr>
          <w:rFonts w:ascii="Arial" w:hAnsi="Arial"/>
          <w:color w:val="1F2937"/>
        </w:rPr>
        <w:t>The final submission must include optimized interval outputs for seven consecutive days from each public scenario.</w:t>
      </w:r>
    </w:p>
    <w:p>
      <w:pPr>
        <w:pStyle w:val="ListBullet"/>
        <w:spacing w:after="60"/>
      </w:pPr>
      <w:r>
        <w:rPr>
          <w:rFonts w:ascii="Arial" w:hAnsi="Arial"/>
          <w:color w:val="1F2937"/>
        </w:rPr>
        <w:t>Each team must additionally create one valid custom scenario containing at least seven days of 15-minute data (672 records).</w:t>
      </w:r>
    </w:p>
    <w:p>
      <w:pPr>
        <w:pStyle w:val="ListBullet"/>
        <w:spacing w:after="60"/>
      </w:pPr>
      <w:r>
        <w:rPr>
          <w:rFonts w:ascii="Arial" w:hAnsi="Arial"/>
          <w:color w:val="1F2937"/>
        </w:rPr>
        <w:t>The required submitted interval output is therefore at least 2,688 records: 672 records × four scenarios.</w:t>
      </w:r>
    </w:p>
    <w:p>
      <w:pPr>
        <w:pStyle w:val="ListBullet"/>
        <w:spacing w:after="60"/>
      </w:pPr>
      <w:r>
        <w:rPr>
          <w:rFonts w:ascii="Arial" w:hAnsi="Arial"/>
          <w:color w:val="1F2937"/>
        </w:rPr>
        <w:t>During the live demonstration, judges may request any single 24-hour period, producing 96 recommendations at 15-minute resolution.</w:t>
      </w:r>
    </w:p>
    <w:p>
      <w:pPr>
        <w:pStyle w:val="ListBullet"/>
        <w:spacing w:after="60"/>
      </w:pPr>
      <w:r>
        <w:rPr>
          <w:rFonts w:ascii="Arial" w:hAnsi="Arial"/>
          <w:color w:val="1F2937"/>
        </w:rPr>
        <w:t>Judges will also test the platform with unseen data supplied by the organizers.</w:t>
      </w:r>
    </w:p>
    <w:p>
      <w:r>
        <w:t>Data quantity is a minimum completeness condition, not evidence of optimization by itself. Optimization will be verified through baseline comparison, feasibility, comfort compliance, constraint checks, reproducibility and hidden test cases.</w:t>
      </w:r>
    </w:p>
    <w:p>
      <w:pPr>
        <w:pStyle w:val="Heading1"/>
      </w:pPr>
      <w:r>
        <w:t>9. Is Data Generation Part of the Challenge?</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Decision</w:t>
              <w:br/>
            </w:r>
            <w:r>
              <w:rPr>
                <w:rFonts w:ascii="Arial" w:hAnsi="Arial"/>
                <w:color w:val="1F2937"/>
                <w:sz w:val="19"/>
              </w:rPr>
              <w:t>Partly. Teams do not need to generate the main dataset. The organizer supplies standardized data for fair comparison. Each team must create one additional custom scenario to demonstrate that the platform can accept new, properly structured data.</w:t>
            </w:r>
          </w:p>
        </w:tc>
      </w:tr>
    </w:tbl>
    <w:p>
      <w:pPr>
        <w:spacing w:after="0"/>
      </w:pPr>
    </w:p>
    <w:p>
      <w:pPr>
        <w:pStyle w:val="ListBullet"/>
        <w:spacing w:after="60"/>
      </w:pPr>
      <w:r>
        <w:rPr>
          <w:rFonts w:ascii="Arial" w:hAnsi="Arial"/>
          <w:b/>
          <w:color w:val="1F2937"/>
        </w:rPr>
        <w:t xml:space="preserve">Organizer responsibility: </w:t>
      </w:r>
      <w:r>
        <w:rPr>
          <w:rFonts w:ascii="Arial" w:hAnsi="Arial"/>
          <w:color w:val="1F2937"/>
        </w:rPr>
        <w:t>Provide three public scenarios, validation cases, an output template and unseen judge cases.</w:t>
      </w:r>
    </w:p>
    <w:p>
      <w:pPr>
        <w:pStyle w:val="ListBullet"/>
        <w:spacing w:after="60"/>
      </w:pPr>
      <w:r>
        <w:rPr>
          <w:rFonts w:ascii="Arial" w:hAnsi="Arial"/>
          <w:b/>
          <w:color w:val="1F2937"/>
        </w:rPr>
        <w:t xml:space="preserve">Team responsibility: </w:t>
      </w:r>
      <w:r>
        <w:rPr>
          <w:rFonts w:ascii="Arial" w:hAnsi="Arial"/>
          <w:color w:val="1F2937"/>
        </w:rPr>
        <w:t>Import and validate organizer data, create one custom seven-day scenario, document its source or generation method, and produce optimization outputs.</w:t>
      </w:r>
    </w:p>
    <w:p>
      <w:pPr>
        <w:pStyle w:val="ListBullet"/>
        <w:spacing w:after="60"/>
      </w:pPr>
      <w:r>
        <w:rPr>
          <w:rFonts w:ascii="Arial" w:hAnsi="Arial"/>
          <w:b/>
          <w:color w:val="1F2937"/>
        </w:rPr>
        <w:t xml:space="preserve">Optional extension: </w:t>
      </w:r>
      <w:r>
        <w:rPr>
          <w:rFonts w:ascii="Arial" w:hAnsi="Arial"/>
          <w:color w:val="1F2937"/>
        </w:rPr>
        <w:t>Teams may connect live APIs, add larger datasets or create additional scenarios, but extra data volume alone does not earn additional marks.</w:t>
      </w:r>
    </w:p>
    <w:p>
      <w:pPr>
        <w:pStyle w:val="ListBullet"/>
        <w:spacing w:after="60"/>
      </w:pPr>
      <w:r>
        <w:rPr>
          <w:rFonts w:ascii="Arial" w:hAnsi="Arial"/>
          <w:b/>
          <w:color w:val="1F2937"/>
        </w:rPr>
        <w:t xml:space="preserve">Disclosure: </w:t>
      </w:r>
      <w:r>
        <w:rPr>
          <w:rFonts w:ascii="Arial" w:hAnsi="Arial"/>
          <w:color w:val="1F2937"/>
        </w:rPr>
        <w:t>Synthetic data, API data and manually entered data must be clearly labelled. Generated data must include a fixed random seed or reproducible generation method where applicable.</w:t>
      </w:r>
    </w:p>
    <w:p>
      <w:pPr>
        <w:pStyle w:val="Heading1"/>
      </w:pPr>
      <w:r>
        <w:t>10. Mandatory Outputs</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2304"/>
            <w:shd w:fill="166534"/>
            <w:vAlign w:val="center"/>
          </w:tcPr>
          <w:p>
            <w:pPr>
              <w:jc w:val="center"/>
            </w:pPr>
            <w:r>
              <w:rPr>
                <w:rFonts w:ascii="Arial" w:hAnsi="Arial"/>
                <w:b/>
                <w:color w:val="FFFFFF"/>
                <w:sz w:val="17"/>
              </w:rPr>
              <w:t>Output</w:t>
            </w:r>
          </w:p>
        </w:tc>
        <w:tc>
          <w:tcPr>
            <w:tcW w:type="dxa" w:w="7272"/>
            <w:shd w:fill="166534"/>
            <w:vAlign w:val="center"/>
          </w:tcPr>
          <w:p>
            <w:pPr>
              <w:jc w:val="center"/>
            </w:pPr>
            <w:r>
              <w:rPr>
                <w:rFonts w:ascii="Arial" w:hAnsi="Arial"/>
                <w:b/>
                <w:color w:val="FFFFFF"/>
                <w:sz w:val="17"/>
              </w:rPr>
              <w:t>Required content</w:t>
            </w:r>
          </w:p>
        </w:tc>
      </w:tr>
      <w:tr>
        <w:trPr>
          <w:cantSplit/>
        </w:trPr>
        <w:tc>
          <w:tcPr>
            <w:tcW w:type="dxa" w:w="2304"/>
            <w:vAlign w:val="top"/>
          </w:tcPr>
          <w:p>
            <w:pPr>
              <w:jc w:val="left"/>
            </w:pPr>
            <w:r>
              <w:rPr>
                <w:rFonts w:ascii="Arial" w:hAnsi="Arial"/>
                <w:color w:val="1F2937"/>
                <w:sz w:val="17"/>
              </w:rPr>
              <w:t>15-minute schedule</w:t>
            </w:r>
          </w:p>
        </w:tc>
        <w:tc>
          <w:tcPr>
            <w:tcW w:type="dxa" w:w="7272"/>
            <w:vAlign w:val="top"/>
          </w:tcPr>
          <w:p>
            <w:pPr>
              <w:jc w:val="left"/>
            </w:pPr>
            <w:r>
              <w:rPr>
                <w:rFonts w:ascii="Arial" w:hAnsi="Arial"/>
                <w:color w:val="1F2937"/>
                <w:sz w:val="17"/>
              </w:rPr>
              <w:t>Timestamp, recommended appliances, setpoint, energy source, interval energy, cost, emissions, indoor temperature/comfort estimate, reason code and explanation.</w:t>
            </w:r>
          </w:p>
        </w:tc>
      </w:tr>
      <w:tr>
        <w:trPr>
          <w:cantSplit/>
        </w:trPr>
        <w:tc>
          <w:tcPr>
            <w:tcW w:type="dxa" w:w="2304"/>
            <w:shd w:fill="F9FAFB"/>
            <w:vAlign w:val="top"/>
          </w:tcPr>
          <w:p>
            <w:pPr>
              <w:jc w:val="left"/>
            </w:pPr>
            <w:r>
              <w:rPr>
                <w:rFonts w:ascii="Arial" w:hAnsi="Arial"/>
                <w:color w:val="1F2937"/>
                <w:sz w:val="17"/>
              </w:rPr>
              <w:t>24-hour summary</w:t>
            </w:r>
          </w:p>
        </w:tc>
        <w:tc>
          <w:tcPr>
            <w:tcW w:type="dxa" w:w="7272"/>
            <w:shd w:fill="F9FAFB"/>
            <w:vAlign w:val="top"/>
          </w:tcPr>
          <w:p>
            <w:pPr>
              <w:jc w:val="left"/>
            </w:pPr>
            <w:r>
              <w:rPr>
                <w:rFonts w:ascii="Arial" w:hAnsi="Arial"/>
                <w:color w:val="1F2937"/>
                <w:sz w:val="17"/>
              </w:rPr>
              <w:t>Baseline vs optimized energy, cost, peak demand, emissions, solar use, battery use and comfort compliance.</w:t>
            </w:r>
          </w:p>
        </w:tc>
      </w:tr>
      <w:tr>
        <w:trPr>
          <w:cantSplit/>
        </w:trPr>
        <w:tc>
          <w:tcPr>
            <w:tcW w:type="dxa" w:w="2304"/>
            <w:vAlign w:val="top"/>
          </w:tcPr>
          <w:p>
            <w:pPr>
              <w:jc w:val="left"/>
            </w:pPr>
            <w:r>
              <w:rPr>
                <w:rFonts w:ascii="Arial" w:hAnsi="Arial"/>
                <w:color w:val="1F2937"/>
                <w:sz w:val="17"/>
              </w:rPr>
              <w:t>Seven-day summary</w:t>
            </w:r>
          </w:p>
        </w:tc>
        <w:tc>
          <w:tcPr>
            <w:tcW w:type="dxa" w:w="7272"/>
            <w:vAlign w:val="top"/>
          </w:tcPr>
          <w:p>
            <w:pPr>
              <w:jc w:val="left"/>
            </w:pPr>
            <w:r>
              <w:rPr>
                <w:rFonts w:ascii="Arial" w:hAnsi="Arial"/>
                <w:color w:val="1F2937"/>
                <w:sz w:val="17"/>
              </w:rPr>
              <w:t>Daily totals, trends, worst heat period, highest demand period, total savings and constraint violations.</w:t>
            </w:r>
          </w:p>
        </w:tc>
      </w:tr>
      <w:tr>
        <w:trPr>
          <w:cantSplit/>
        </w:trPr>
        <w:tc>
          <w:tcPr>
            <w:tcW w:type="dxa" w:w="2304"/>
            <w:shd w:fill="F9FAFB"/>
            <w:vAlign w:val="top"/>
          </w:tcPr>
          <w:p>
            <w:pPr>
              <w:jc w:val="left"/>
            </w:pPr>
            <w:r>
              <w:rPr>
                <w:rFonts w:ascii="Arial" w:hAnsi="Arial"/>
                <w:color w:val="1F2937"/>
                <w:sz w:val="17"/>
              </w:rPr>
              <w:t>Alerts</w:t>
            </w:r>
          </w:p>
        </w:tc>
        <w:tc>
          <w:tcPr>
            <w:tcW w:type="dxa" w:w="7272"/>
            <w:shd w:fill="F9FAFB"/>
            <w:vAlign w:val="top"/>
          </w:tcPr>
          <w:p>
            <w:pPr>
              <w:jc w:val="left"/>
            </w:pPr>
            <w:r>
              <w:rPr>
                <w:rFonts w:ascii="Arial" w:hAnsi="Arial"/>
                <w:color w:val="1F2937"/>
                <w:sz w:val="17"/>
              </w:rPr>
              <w:t>Extreme heat, unsafe comfort, budget risk, peak demand, low battery, outage, insufficient capacity and missing data.</w:t>
            </w:r>
          </w:p>
        </w:tc>
      </w:tr>
      <w:tr>
        <w:trPr>
          <w:cantSplit/>
        </w:trPr>
        <w:tc>
          <w:tcPr>
            <w:tcW w:type="dxa" w:w="2304"/>
            <w:vAlign w:val="top"/>
          </w:tcPr>
          <w:p>
            <w:pPr>
              <w:jc w:val="left"/>
            </w:pPr>
            <w:r>
              <w:rPr>
                <w:rFonts w:ascii="Arial" w:hAnsi="Arial"/>
                <w:color w:val="1F2937"/>
                <w:sz w:val="17"/>
              </w:rPr>
              <w:t>Audit information</w:t>
            </w:r>
          </w:p>
        </w:tc>
        <w:tc>
          <w:tcPr>
            <w:tcW w:type="dxa" w:w="7272"/>
            <w:vAlign w:val="top"/>
          </w:tcPr>
          <w:p>
            <w:pPr>
              <w:jc w:val="left"/>
            </w:pPr>
            <w:r>
              <w:rPr>
                <w:rFonts w:ascii="Arial" w:hAnsi="Arial"/>
                <w:color w:val="1F2937"/>
                <w:sz w:val="17"/>
              </w:rPr>
              <w:t>Algorithm name/version, run time, input dataset identifier, assumptions and calculation timestamp.</w:t>
            </w:r>
          </w:p>
        </w:tc>
      </w:tr>
    </w:tbl>
    <w:p>
      <w:pPr>
        <w:spacing w:after="0"/>
      </w:pPr>
    </w:p>
    <w:p>
      <w:pPr>
        <w:pStyle w:val="Heading1"/>
      </w:pPr>
      <w:r>
        <w:t>11. Minimum Acceptance Conditions</w:t>
      </w:r>
    </w:p>
    <w:p>
      <w:pPr>
        <w:pStyle w:val="ListBullet"/>
        <w:spacing w:after="60"/>
      </w:pPr>
      <w:r>
        <w:rPr>
          <w:rFonts w:ascii="Arial" w:hAnsi="Arial"/>
          <w:color w:val="1F2937"/>
        </w:rPr>
        <w:t>All required interval outputs are present and timestamps are complete.</w:t>
      </w:r>
    </w:p>
    <w:p>
      <w:pPr>
        <w:pStyle w:val="ListBullet"/>
        <w:spacing w:after="60"/>
      </w:pPr>
      <w:r>
        <w:rPr>
          <w:rFonts w:ascii="Arial" w:hAnsi="Arial"/>
          <w:color w:val="1F2937"/>
        </w:rPr>
        <w:t>No hard constraint is silently violated.</w:t>
      </w:r>
    </w:p>
    <w:p>
      <w:pPr>
        <w:pStyle w:val="ListBullet"/>
        <w:spacing w:after="60"/>
      </w:pPr>
      <w:r>
        <w:rPr>
          <w:rFonts w:ascii="Arial" w:hAnsi="Arial"/>
          <w:color w:val="1F2937"/>
        </w:rPr>
        <w:t>The platform reports infeasibility when safe comfort cannot be achieved.</w:t>
      </w:r>
    </w:p>
    <w:p>
      <w:pPr>
        <w:pStyle w:val="ListBullet"/>
        <w:spacing w:after="60"/>
      </w:pPr>
      <w:r>
        <w:rPr>
          <w:rFonts w:ascii="Arial" w:hAnsi="Arial"/>
          <w:color w:val="1F2937"/>
        </w:rPr>
        <w:t>Energy is balanced across grid, solar, battery and appliance demand.</w:t>
      </w:r>
    </w:p>
    <w:p>
      <w:pPr>
        <w:pStyle w:val="ListBullet"/>
        <w:spacing w:after="60"/>
      </w:pPr>
      <w:r>
        <w:rPr>
          <w:rFonts w:ascii="Arial" w:hAnsi="Arial"/>
          <w:color w:val="1F2937"/>
        </w:rPr>
        <w:t>Battery state of charge remains between zero and capacity and respects the reserve setting.</w:t>
      </w:r>
    </w:p>
    <w:p>
      <w:pPr>
        <w:pStyle w:val="ListBullet"/>
        <w:spacing w:after="60"/>
      </w:pPr>
      <w:r>
        <w:rPr>
          <w:rFonts w:ascii="Arial" w:hAnsi="Arial"/>
          <w:color w:val="1F2937"/>
        </w:rPr>
        <w:t>Grid energy is zero during grid-unavailable intervals.</w:t>
      </w:r>
    </w:p>
    <w:p>
      <w:pPr>
        <w:pStyle w:val="ListBullet"/>
        <w:spacing w:after="60"/>
      </w:pPr>
      <w:r>
        <w:rPr>
          <w:rFonts w:ascii="Arial" w:hAnsi="Arial"/>
          <w:color w:val="1F2937"/>
        </w:rPr>
        <w:t>Changing important inputs causes the results to change.</w:t>
      </w:r>
    </w:p>
    <w:p>
      <w:pPr>
        <w:pStyle w:val="ListBullet"/>
        <w:spacing w:after="60"/>
      </w:pPr>
      <w:r>
        <w:rPr>
          <w:rFonts w:ascii="Arial" w:hAnsi="Arial"/>
          <w:color w:val="1F2937"/>
        </w:rPr>
        <w:t>The same input and settings produce reproducible results, or the team discloses and controls randomness.</w:t>
      </w:r>
    </w:p>
    <w:p>
      <w:pPr>
        <w:pStyle w:val="ListBullet"/>
        <w:spacing w:after="60"/>
      </w:pPr>
      <w:r>
        <w:rPr>
          <w:rFonts w:ascii="Arial" w:hAnsi="Arial"/>
          <w:color w:val="1F2937"/>
        </w:rPr>
        <w:t>The team can explain formulas, assumptions and optimization logic.</w:t>
      </w:r>
    </w:p>
    <w:p>
      <w:pPr>
        <w:pStyle w:val="ListBullet"/>
        <w:spacing w:after="60"/>
      </w:pPr>
      <w:r>
        <w:rPr>
          <w:rFonts w:ascii="Arial" w:hAnsi="Arial"/>
          <w:color w:val="1F2937"/>
        </w:rPr>
        <w:t>The product is functional beyond visual mock-ups.</w:t>
      </w:r>
    </w:p>
    <w:p>
      <w:pPr>
        <w:pStyle w:val="Heading1"/>
      </w:pPr>
      <w:r>
        <w:t>12. Permitted Technology</w:t>
      </w:r>
    </w:p>
    <w:p>
      <w:pPr>
        <w:pStyle w:val="ListBullet"/>
        <w:spacing w:after="60"/>
      </w:pPr>
      <w:r>
        <w:rPr>
          <w:rFonts w:ascii="Arial" w:hAnsi="Arial"/>
          <w:color w:val="1F2937"/>
        </w:rPr>
        <w:t>Open-source libraries and frameworks</w:t>
      </w:r>
    </w:p>
    <w:p>
      <w:pPr>
        <w:pStyle w:val="ListBullet"/>
        <w:spacing w:after="60"/>
      </w:pPr>
      <w:r>
        <w:rPr>
          <w:rFonts w:ascii="Arial" w:hAnsi="Arial"/>
          <w:color w:val="1F2937"/>
        </w:rPr>
        <w:t>Public and licensed APIs</w:t>
      </w:r>
    </w:p>
    <w:p>
      <w:pPr>
        <w:pStyle w:val="ListBullet"/>
        <w:spacing w:after="60"/>
      </w:pPr>
      <w:r>
        <w:rPr>
          <w:rFonts w:ascii="Arial" w:hAnsi="Arial"/>
          <w:color w:val="1F2937"/>
        </w:rPr>
        <w:t>Open datasets</w:t>
      </w:r>
    </w:p>
    <w:p>
      <w:pPr>
        <w:pStyle w:val="ListBullet"/>
        <w:spacing w:after="60"/>
      </w:pPr>
      <w:r>
        <w:rPr>
          <w:rFonts w:ascii="Arial" w:hAnsi="Arial"/>
          <w:color w:val="1F2937"/>
        </w:rPr>
        <w:t>Pre-trained AI or machine-learning models</w:t>
      </w:r>
    </w:p>
    <w:p>
      <w:pPr>
        <w:pStyle w:val="ListBullet"/>
        <w:spacing w:after="60"/>
      </w:pPr>
      <w:r>
        <w:rPr>
          <w:rFonts w:ascii="Arial" w:hAnsi="Arial"/>
          <w:color w:val="1F2937"/>
        </w:rPr>
        <w:t>Optimization libraries and algorithms</w:t>
      </w:r>
    </w:p>
    <w:p>
      <w:pPr>
        <w:pStyle w:val="ListBullet"/>
        <w:spacing w:after="60"/>
      </w:pPr>
      <w:r>
        <w:rPr>
          <w:rFonts w:ascii="Arial" w:hAnsi="Arial"/>
          <w:color w:val="1F2937"/>
        </w:rPr>
        <w:t>Cloud services</w:t>
      </w:r>
    </w:p>
    <w:p>
      <w:pPr>
        <w:pStyle w:val="ListBullet"/>
        <w:spacing w:after="60"/>
      </w:pPr>
      <w:r>
        <w:rPr>
          <w:rFonts w:ascii="Arial" w:hAnsi="Arial"/>
          <w:color w:val="1F2937"/>
        </w:rPr>
        <w:t>No-code or low-code tools</w:t>
      </w:r>
    </w:p>
    <w:p>
      <w:pPr>
        <w:pStyle w:val="ListBullet"/>
        <w:spacing w:after="60"/>
      </w:pPr>
      <w:r>
        <w:rPr>
          <w:rFonts w:ascii="Arial" w:hAnsi="Arial"/>
          <w:color w:val="1F2937"/>
        </w:rPr>
        <w:t>Local databases or cloud databases</w:t>
      </w:r>
    </w:p>
    <w:p>
      <w:pPr>
        <w:pStyle w:val="ListBullet"/>
        <w:spacing w:after="60"/>
      </w:pPr>
      <w:r>
        <w:rPr>
          <w:rFonts w:ascii="Arial" w:hAnsi="Arial"/>
          <w:color w:val="1F2937"/>
        </w:rPr>
        <w:t>Simulated IoT data where physical hardware is unavailable</w:t>
      </w:r>
    </w:p>
    <w:tbl>
      <w:tblPr>
        <w:tblW w:type="auto" w:w="0"/>
        <w:jc w:val="center"/>
        <w:tblLayout w:type="fixed"/>
        <w:tblLook w:firstColumn="1" w:firstRow="1" w:lastColumn="0" w:lastRow="0" w:noHBand="0" w:noVBand="1" w:val="04A0"/>
      </w:tblPr>
      <w:tblGrid>
        <w:gridCol w:w="9576"/>
      </w:tblGrid>
      <w:tr>
        <w:tc>
          <w:tcPr>
            <w:tcW w:type="dxa" w:w="9749"/>
            <w:shd w:fill="DCFCE7"/>
            <w:tcBorders>
              <w:top w:val="single" w:sz="8" w:color="166534"/>
              <w:left w:val="single" w:sz="8" w:color="166534"/>
              <w:bottom w:val="single" w:sz="8" w:color="166534"/>
              <w:right w:val="single" w:sz="8" w:color="166534"/>
            </w:tcBorders>
          </w:tcPr>
          <w:p>
            <w:r>
              <w:rPr>
                <w:rFonts w:ascii="Arial" w:hAnsi="Arial"/>
                <w:b/>
                <w:color w:val="14532D"/>
                <w:sz w:val="21"/>
              </w:rPr>
              <w:t>Originality Rule</w:t>
              <w:br/>
            </w:r>
            <w:r>
              <w:rPr>
                <w:rFonts w:ascii="Arial" w:hAnsi="Arial"/>
                <w:color w:val="1F2937"/>
                <w:sz w:val="19"/>
              </w:rPr>
              <w:t>Existing tools may be used as building blocks, but the submitted product must demonstrate meaningful original integration, customization, functionality or user experience. A copied, rebranded or minimally modified existing product is not acceptable.</w:t>
            </w:r>
          </w:p>
        </w:tc>
      </w:tr>
    </w:tbl>
    <w:p>
      <w:pPr>
        <w:spacing w:after="0"/>
      </w:pPr>
    </w:p>
    <w:p>
      <w:pPr>
        <w:pStyle w:val="Heading1"/>
      </w:pPr>
      <w:r>
        <w:t>13. What Does Not Qualify?</w:t>
      </w:r>
    </w:p>
    <w:p>
      <w:pPr>
        <w:pStyle w:val="ListBullet"/>
        <w:spacing w:after="60"/>
      </w:pPr>
      <w:r>
        <w:rPr>
          <w:rFonts w:ascii="Arial" w:hAnsi="Arial"/>
          <w:color w:val="1F2937"/>
        </w:rPr>
        <w:t>A static awareness website</w:t>
      </w:r>
    </w:p>
    <w:p>
      <w:pPr>
        <w:pStyle w:val="ListBullet"/>
        <w:spacing w:after="60"/>
      </w:pPr>
      <w:r>
        <w:rPr>
          <w:rFonts w:ascii="Arial" w:hAnsi="Arial"/>
          <w:color w:val="1F2937"/>
        </w:rPr>
        <w:t>A weather dashboard without energy optimization</w:t>
      </w:r>
    </w:p>
    <w:p>
      <w:pPr>
        <w:pStyle w:val="ListBullet"/>
        <w:spacing w:after="60"/>
      </w:pPr>
      <w:r>
        <w:rPr>
          <w:rFonts w:ascii="Arial" w:hAnsi="Arial"/>
          <w:color w:val="1F2937"/>
        </w:rPr>
        <w:t>A generic chatbot</w:t>
      </w:r>
    </w:p>
    <w:p>
      <w:pPr>
        <w:pStyle w:val="ListBullet"/>
        <w:spacing w:after="60"/>
      </w:pPr>
      <w:r>
        <w:rPr>
          <w:rFonts w:ascii="Arial" w:hAnsi="Arial"/>
          <w:color w:val="1F2937"/>
        </w:rPr>
        <w:t>A basic carbon calculator</w:t>
      </w:r>
    </w:p>
    <w:p>
      <w:pPr>
        <w:pStyle w:val="ListBullet"/>
        <w:spacing w:after="60"/>
      </w:pPr>
      <w:r>
        <w:rPr>
          <w:rFonts w:ascii="Arial" w:hAnsi="Arial"/>
          <w:color w:val="1F2937"/>
        </w:rPr>
        <w:t>Hard-coded schedules or savings</w:t>
      </w:r>
    </w:p>
    <w:p>
      <w:pPr>
        <w:pStyle w:val="ListBullet"/>
        <w:spacing w:after="60"/>
      </w:pPr>
      <w:r>
        <w:rPr>
          <w:rFonts w:ascii="Arial" w:hAnsi="Arial"/>
          <w:color w:val="1F2937"/>
        </w:rPr>
        <w:t>Screens without a working backend or calculation layer</w:t>
      </w:r>
    </w:p>
    <w:p>
      <w:pPr>
        <w:pStyle w:val="ListBullet"/>
        <w:spacing w:after="60"/>
      </w:pPr>
      <w:r>
        <w:rPr>
          <w:rFonts w:ascii="Arial" w:hAnsi="Arial"/>
          <w:color w:val="1F2937"/>
        </w:rPr>
        <w:t>A solution that ignores comfort and safety</w:t>
      </w:r>
    </w:p>
    <w:p>
      <w:pPr>
        <w:pStyle w:val="ListBullet"/>
        <w:spacing w:after="60"/>
      </w:pPr>
      <w:r>
        <w:rPr>
          <w:rFonts w:ascii="Arial" w:hAnsi="Arial"/>
          <w:color w:val="1F2937"/>
        </w:rPr>
        <w:t>A system that cannot handle unseen input values</w:t>
      </w:r>
    </w:p>
    <w:p>
      <w:pPr>
        <w:pStyle w:val="Heading1"/>
      </w:pPr>
      <w:r>
        <w:t>14. Innovation Opportunities</w:t>
      </w:r>
    </w:p>
    <w:p>
      <w:pPr>
        <w:pStyle w:val="ListBullet"/>
        <w:spacing w:after="60"/>
      </w:pPr>
      <w:r>
        <w:rPr>
          <w:rFonts w:ascii="Arial" w:hAnsi="Arial"/>
          <w:color w:val="1F2937"/>
        </w:rPr>
        <w:t>Predictive indoor temperature model</w:t>
      </w:r>
    </w:p>
    <w:p>
      <w:pPr>
        <w:pStyle w:val="ListBullet"/>
        <w:spacing w:after="60"/>
      </w:pPr>
      <w:r>
        <w:rPr>
          <w:rFonts w:ascii="Arial" w:hAnsi="Arial"/>
          <w:color w:val="1F2937"/>
        </w:rPr>
        <w:t>Advanced multi-objective optimization</w:t>
      </w:r>
    </w:p>
    <w:p>
      <w:pPr>
        <w:pStyle w:val="ListBullet"/>
        <w:spacing w:after="60"/>
      </w:pPr>
      <w:r>
        <w:rPr>
          <w:rFonts w:ascii="Arial" w:hAnsi="Arial"/>
          <w:color w:val="1F2937"/>
        </w:rPr>
        <w:t>Smart thermostat or smart-plug integration</w:t>
      </w:r>
    </w:p>
    <w:p>
      <w:pPr>
        <w:pStyle w:val="ListBullet"/>
        <w:spacing w:after="60"/>
      </w:pPr>
      <w:r>
        <w:rPr>
          <w:rFonts w:ascii="Arial" w:hAnsi="Arial"/>
          <w:color w:val="1F2937"/>
        </w:rPr>
        <w:t>Voice interaction and multilingual support</w:t>
      </w:r>
    </w:p>
    <w:p>
      <w:pPr>
        <w:pStyle w:val="ListBullet"/>
        <w:spacing w:after="60"/>
      </w:pPr>
      <w:r>
        <w:rPr>
          <w:rFonts w:ascii="Arial" w:hAnsi="Arial"/>
          <w:color w:val="1F2937"/>
        </w:rPr>
        <w:t>Offline or low-bandwidth operation</w:t>
      </w:r>
    </w:p>
    <w:p>
      <w:pPr>
        <w:pStyle w:val="ListBullet"/>
        <w:spacing w:after="60"/>
      </w:pPr>
      <w:r>
        <w:rPr>
          <w:rFonts w:ascii="Arial" w:hAnsi="Arial"/>
          <w:color w:val="1F2937"/>
        </w:rPr>
        <w:t>Personalized recommendations for vulnerable occupants</w:t>
      </w:r>
    </w:p>
    <w:p>
      <w:pPr>
        <w:pStyle w:val="ListBullet"/>
        <w:spacing w:after="60"/>
      </w:pPr>
      <w:r>
        <w:rPr>
          <w:rFonts w:ascii="Arial" w:hAnsi="Arial"/>
          <w:color w:val="1F2937"/>
        </w:rPr>
        <w:t>Community or multi-building dashboard</w:t>
      </w:r>
    </w:p>
    <w:p>
      <w:pPr>
        <w:pStyle w:val="ListBullet"/>
        <w:spacing w:after="60"/>
      </w:pPr>
      <w:r>
        <w:rPr>
          <w:rFonts w:ascii="Arial" w:hAnsi="Arial"/>
          <w:color w:val="1F2937"/>
        </w:rPr>
        <w:t>Automated anomaly detection</w:t>
      </w:r>
    </w:p>
    <w:p>
      <w:pPr>
        <w:pStyle w:val="ListBullet"/>
        <w:spacing w:after="60"/>
      </w:pPr>
      <w:r>
        <w:rPr>
          <w:rFonts w:ascii="Arial" w:hAnsi="Arial"/>
          <w:color w:val="1F2937"/>
        </w:rPr>
        <w:t>Demand-response or dynamic tariff support</w:t>
      </w:r>
    </w:p>
    <w:p>
      <w:pPr>
        <w:pStyle w:val="ListBullet"/>
        <w:spacing w:after="60"/>
      </w:pPr>
      <w:r>
        <w:rPr>
          <w:rFonts w:ascii="Arial" w:hAnsi="Arial"/>
          <w:color w:val="1F2937"/>
        </w:rPr>
        <w:t>Gamification and energy-saving challenges</w:t>
      </w:r>
    </w:p>
    <w:p>
      <w:pPr>
        <w:pStyle w:val="Heading1"/>
      </w:pPr>
      <w:r>
        <w:t>15. Required Deliverables</w:t>
      </w:r>
    </w:p>
    <w:p>
      <w:pPr>
        <w:spacing w:after="60"/>
        <w:ind w:left="259" w:hanging="259"/>
      </w:pPr>
      <w:r>
        <w:rPr>
          <w:rFonts w:ascii="Arial" w:hAnsi="Arial"/>
          <w:b/>
          <w:color w:val="1F2937"/>
        </w:rPr>
        <w:t xml:space="preserve">1. </w:t>
      </w:r>
      <w:r>
        <w:rPr>
          <w:rFonts w:ascii="Arial" w:hAnsi="Arial"/>
          <w:color w:val="1F2937"/>
        </w:rPr>
        <w:t>Functional application or deployable prototype.</w:t>
      </w:r>
    </w:p>
    <w:p>
      <w:pPr>
        <w:spacing w:after="60"/>
        <w:ind w:left="259" w:hanging="259"/>
      </w:pPr>
      <w:r>
        <w:rPr>
          <w:rFonts w:ascii="Arial" w:hAnsi="Arial"/>
          <w:b/>
          <w:color w:val="1F2937"/>
        </w:rPr>
        <w:t xml:space="preserve">2. </w:t>
      </w:r>
      <w:r>
        <w:rPr>
          <w:rFonts w:ascii="Arial" w:hAnsi="Arial"/>
          <w:color w:val="1F2937"/>
        </w:rPr>
        <w:t>Source-code repository with meaningful commit history.</w:t>
      </w:r>
    </w:p>
    <w:p>
      <w:pPr>
        <w:spacing w:after="60"/>
        <w:ind w:left="259" w:hanging="259"/>
      </w:pPr>
      <w:r>
        <w:rPr>
          <w:rFonts w:ascii="Arial" w:hAnsi="Arial"/>
          <w:b/>
          <w:color w:val="1F2937"/>
        </w:rPr>
        <w:t xml:space="preserve">3. </w:t>
      </w:r>
      <w:r>
        <w:rPr>
          <w:rFonts w:ascii="Arial" w:hAnsi="Arial"/>
          <w:color w:val="1F2937"/>
        </w:rPr>
        <w:t>Setup and execution instructions.</w:t>
      </w:r>
    </w:p>
    <w:p>
      <w:pPr>
        <w:spacing w:after="60"/>
        <w:ind w:left="259" w:hanging="259"/>
      </w:pPr>
      <w:r>
        <w:rPr>
          <w:rFonts w:ascii="Arial" w:hAnsi="Arial"/>
          <w:b/>
          <w:color w:val="1F2937"/>
        </w:rPr>
        <w:t xml:space="preserve">4. </w:t>
      </w:r>
      <w:r>
        <w:rPr>
          <w:rFonts w:ascii="Arial" w:hAnsi="Arial"/>
          <w:color w:val="1F2937"/>
        </w:rPr>
        <w:t>Technical architecture and data-flow diagram.</w:t>
      </w:r>
    </w:p>
    <w:p>
      <w:pPr>
        <w:spacing w:after="60"/>
        <w:ind w:left="259" w:hanging="259"/>
      </w:pPr>
      <w:r>
        <w:rPr>
          <w:rFonts w:ascii="Arial" w:hAnsi="Arial"/>
          <w:b/>
          <w:color w:val="1F2937"/>
        </w:rPr>
        <w:t xml:space="preserve">5. </w:t>
      </w:r>
      <w:r>
        <w:rPr>
          <w:rFonts w:ascii="Arial" w:hAnsi="Arial"/>
          <w:color w:val="1F2937"/>
        </w:rPr>
        <w:t>Formula, assumption and optimization-method document.</w:t>
      </w:r>
    </w:p>
    <w:p>
      <w:pPr>
        <w:spacing w:after="60"/>
        <w:ind w:left="259" w:hanging="259"/>
      </w:pPr>
      <w:r>
        <w:rPr>
          <w:rFonts w:ascii="Arial" w:hAnsi="Arial"/>
          <w:b/>
          <w:color w:val="1F2937"/>
        </w:rPr>
        <w:t xml:space="preserve">6. </w:t>
      </w:r>
      <w:r>
        <w:rPr>
          <w:rFonts w:ascii="Arial" w:hAnsi="Arial"/>
          <w:color w:val="1F2937"/>
        </w:rPr>
        <w:t>Completed interval-output file for the required four scenarios.</w:t>
      </w:r>
    </w:p>
    <w:p>
      <w:pPr>
        <w:spacing w:after="60"/>
        <w:ind w:left="259" w:hanging="259"/>
      </w:pPr>
      <w:r>
        <w:rPr>
          <w:rFonts w:ascii="Arial" w:hAnsi="Arial"/>
          <w:b/>
          <w:color w:val="1F2937"/>
        </w:rPr>
        <w:t xml:space="preserve">7. </w:t>
      </w:r>
      <w:r>
        <w:rPr>
          <w:rFonts w:ascii="Arial" w:hAnsi="Arial"/>
          <w:color w:val="1F2937"/>
        </w:rPr>
        <w:t>Custom scenario dataset and its data-source/generation note.</w:t>
      </w:r>
    </w:p>
    <w:p>
      <w:pPr>
        <w:spacing w:after="60"/>
        <w:ind w:left="259" w:hanging="259"/>
      </w:pPr>
      <w:r>
        <w:rPr>
          <w:rFonts w:ascii="Arial" w:hAnsi="Arial"/>
          <w:b/>
          <w:color w:val="1F2937"/>
        </w:rPr>
        <w:t xml:space="preserve">8. </w:t>
      </w:r>
      <w:r>
        <w:rPr>
          <w:rFonts w:ascii="Arial" w:hAnsi="Arial"/>
          <w:color w:val="1F2937"/>
        </w:rPr>
        <w:t>List of APIs, libraries, datasets, models and external tools used.</w:t>
      </w:r>
    </w:p>
    <w:p>
      <w:pPr>
        <w:spacing w:after="60"/>
        <w:ind w:left="259" w:hanging="259"/>
      </w:pPr>
      <w:r>
        <w:rPr>
          <w:rFonts w:ascii="Arial" w:hAnsi="Arial"/>
          <w:b/>
          <w:color w:val="1F2937"/>
        </w:rPr>
        <w:t xml:space="preserve">9. </w:t>
      </w:r>
      <w:r>
        <w:rPr>
          <w:rFonts w:ascii="Arial" w:hAnsi="Arial"/>
          <w:color w:val="1F2937"/>
        </w:rPr>
        <w:t>Testing evidence and known limitations.</w:t>
      </w:r>
    </w:p>
    <w:p>
      <w:pPr>
        <w:spacing w:after="60"/>
        <w:ind w:left="259" w:hanging="259"/>
      </w:pPr>
      <w:r>
        <w:rPr>
          <w:rFonts w:ascii="Arial" w:hAnsi="Arial"/>
          <w:b/>
          <w:color w:val="1F2937"/>
        </w:rPr>
        <w:t xml:space="preserve">10. </w:t>
      </w:r>
      <w:r>
        <w:rPr>
          <w:rFonts w:ascii="Arial" w:hAnsi="Arial"/>
          <w:color w:val="1F2937"/>
        </w:rPr>
        <w:t>Short pitch deck and live demonstration.</w:t>
      </w:r>
    </w:p>
    <w:p>
      <w:pPr>
        <w:pStyle w:val="Heading1"/>
      </w:pPr>
      <w:r>
        <w:t>16. Judging Criteria</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7488"/>
            <w:shd w:fill="166534"/>
            <w:vAlign w:val="center"/>
          </w:tcPr>
          <w:p>
            <w:pPr>
              <w:jc w:val="center"/>
            </w:pPr>
            <w:r>
              <w:rPr>
                <w:rFonts w:ascii="Arial" w:hAnsi="Arial"/>
                <w:b/>
                <w:color w:val="FFFFFF"/>
                <w:sz w:val="17"/>
              </w:rPr>
              <w:t>Criterion</w:t>
            </w:r>
          </w:p>
        </w:tc>
        <w:tc>
          <w:tcPr>
            <w:tcW w:type="dxa" w:w="2088"/>
            <w:shd w:fill="166534"/>
            <w:vAlign w:val="center"/>
          </w:tcPr>
          <w:p>
            <w:pPr>
              <w:jc w:val="center"/>
            </w:pPr>
            <w:r>
              <w:rPr>
                <w:rFonts w:ascii="Arial" w:hAnsi="Arial"/>
                <w:b/>
                <w:color w:val="FFFFFF"/>
                <w:sz w:val="17"/>
              </w:rPr>
              <w:t>Weight</w:t>
            </w:r>
          </w:p>
        </w:tc>
      </w:tr>
      <w:tr>
        <w:trPr>
          <w:cantSplit/>
        </w:trPr>
        <w:tc>
          <w:tcPr>
            <w:tcW w:type="dxa" w:w="7488"/>
            <w:vAlign w:val="top"/>
          </w:tcPr>
          <w:p>
            <w:pPr>
              <w:jc w:val="left"/>
            </w:pPr>
            <w:r>
              <w:rPr>
                <w:rFonts w:ascii="Arial" w:hAnsi="Arial"/>
                <w:color w:val="1F2937"/>
                <w:sz w:val="17"/>
              </w:rPr>
              <w:t>Completion of mandatory workflow</w:t>
            </w:r>
          </w:p>
        </w:tc>
        <w:tc>
          <w:tcPr>
            <w:tcW w:type="dxa" w:w="2088"/>
            <w:vAlign w:val="top"/>
          </w:tcPr>
          <w:p>
            <w:pPr>
              <w:jc w:val="left"/>
            </w:pPr>
            <w:r>
              <w:rPr>
                <w:rFonts w:ascii="Arial" w:hAnsi="Arial"/>
                <w:color w:val="1F2937"/>
                <w:sz w:val="17"/>
              </w:rPr>
              <w:t>15%</w:t>
            </w:r>
          </w:p>
        </w:tc>
      </w:tr>
      <w:tr>
        <w:trPr>
          <w:cantSplit/>
        </w:trPr>
        <w:tc>
          <w:tcPr>
            <w:tcW w:type="dxa" w:w="7488"/>
            <w:shd w:fill="F9FAFB"/>
            <w:vAlign w:val="top"/>
          </w:tcPr>
          <w:p>
            <w:pPr>
              <w:jc w:val="left"/>
            </w:pPr>
            <w:r>
              <w:rPr>
                <w:rFonts w:ascii="Arial" w:hAnsi="Arial"/>
                <w:color w:val="1F2937"/>
                <w:sz w:val="17"/>
              </w:rPr>
              <w:t>Correctness of calculations and data handling</w:t>
            </w:r>
          </w:p>
        </w:tc>
        <w:tc>
          <w:tcPr>
            <w:tcW w:type="dxa" w:w="2088"/>
            <w:shd w:fill="F9FAFB"/>
            <w:vAlign w:val="top"/>
          </w:tcPr>
          <w:p>
            <w:pPr>
              <w:jc w:val="left"/>
            </w:pPr>
            <w:r>
              <w:rPr>
                <w:rFonts w:ascii="Arial" w:hAnsi="Arial"/>
                <w:color w:val="1F2937"/>
                <w:sz w:val="17"/>
              </w:rPr>
              <w:t>15%</w:t>
            </w:r>
          </w:p>
        </w:tc>
      </w:tr>
      <w:tr>
        <w:trPr>
          <w:cantSplit/>
        </w:trPr>
        <w:tc>
          <w:tcPr>
            <w:tcW w:type="dxa" w:w="7488"/>
            <w:vAlign w:val="top"/>
          </w:tcPr>
          <w:p>
            <w:pPr>
              <w:jc w:val="left"/>
            </w:pPr>
            <w:r>
              <w:rPr>
                <w:rFonts w:ascii="Arial" w:hAnsi="Arial"/>
                <w:color w:val="1F2937"/>
                <w:sz w:val="17"/>
              </w:rPr>
              <w:t>Quality of optimization and constraint handling</w:t>
            </w:r>
          </w:p>
        </w:tc>
        <w:tc>
          <w:tcPr>
            <w:tcW w:type="dxa" w:w="2088"/>
            <w:vAlign w:val="top"/>
          </w:tcPr>
          <w:p>
            <w:pPr>
              <w:jc w:val="left"/>
            </w:pPr>
            <w:r>
              <w:rPr>
                <w:rFonts w:ascii="Arial" w:hAnsi="Arial"/>
                <w:color w:val="1F2937"/>
                <w:sz w:val="17"/>
              </w:rPr>
              <w:t>20%</w:t>
            </w:r>
          </w:p>
        </w:tc>
      </w:tr>
      <w:tr>
        <w:trPr>
          <w:cantSplit/>
        </w:trPr>
        <w:tc>
          <w:tcPr>
            <w:tcW w:type="dxa" w:w="7488"/>
            <w:shd w:fill="F9FAFB"/>
            <w:vAlign w:val="top"/>
          </w:tcPr>
          <w:p>
            <w:pPr>
              <w:jc w:val="left"/>
            </w:pPr>
            <w:r>
              <w:rPr>
                <w:rFonts w:ascii="Arial" w:hAnsi="Arial"/>
                <w:color w:val="1F2937"/>
                <w:sz w:val="17"/>
              </w:rPr>
              <w:t>Energy, affordability and climate impact</w:t>
            </w:r>
          </w:p>
        </w:tc>
        <w:tc>
          <w:tcPr>
            <w:tcW w:type="dxa" w:w="2088"/>
            <w:shd w:fill="F9FAFB"/>
            <w:vAlign w:val="top"/>
          </w:tcPr>
          <w:p>
            <w:pPr>
              <w:jc w:val="left"/>
            </w:pPr>
            <w:r>
              <w:rPr>
                <w:rFonts w:ascii="Arial" w:hAnsi="Arial"/>
                <w:color w:val="1F2937"/>
                <w:sz w:val="17"/>
              </w:rPr>
              <w:t>10%</w:t>
            </w:r>
          </w:p>
        </w:tc>
      </w:tr>
      <w:tr>
        <w:trPr>
          <w:cantSplit/>
        </w:trPr>
        <w:tc>
          <w:tcPr>
            <w:tcW w:type="dxa" w:w="7488"/>
            <w:vAlign w:val="top"/>
          </w:tcPr>
          <w:p>
            <w:pPr>
              <w:jc w:val="left"/>
            </w:pPr>
            <w:r>
              <w:rPr>
                <w:rFonts w:ascii="Arial" w:hAnsi="Arial"/>
                <w:color w:val="1F2937"/>
                <w:sz w:val="17"/>
              </w:rPr>
              <w:t>Technical architecture and reliability</w:t>
            </w:r>
          </w:p>
        </w:tc>
        <w:tc>
          <w:tcPr>
            <w:tcW w:type="dxa" w:w="2088"/>
            <w:vAlign w:val="top"/>
          </w:tcPr>
          <w:p>
            <w:pPr>
              <w:jc w:val="left"/>
            </w:pPr>
            <w:r>
              <w:rPr>
                <w:rFonts w:ascii="Arial" w:hAnsi="Arial"/>
                <w:color w:val="1F2937"/>
                <w:sz w:val="17"/>
              </w:rPr>
              <w:t>10%</w:t>
            </w:r>
          </w:p>
        </w:tc>
      </w:tr>
      <w:tr>
        <w:trPr>
          <w:cantSplit/>
        </w:trPr>
        <w:tc>
          <w:tcPr>
            <w:tcW w:type="dxa" w:w="7488"/>
            <w:shd w:fill="F9FAFB"/>
            <w:vAlign w:val="top"/>
          </w:tcPr>
          <w:p>
            <w:pPr>
              <w:jc w:val="left"/>
            </w:pPr>
            <w:r>
              <w:rPr>
                <w:rFonts w:ascii="Arial" w:hAnsi="Arial"/>
                <w:color w:val="1F2937"/>
                <w:sz w:val="17"/>
              </w:rPr>
              <w:t>Innovation and originality</w:t>
            </w:r>
          </w:p>
        </w:tc>
        <w:tc>
          <w:tcPr>
            <w:tcW w:type="dxa" w:w="2088"/>
            <w:shd w:fill="F9FAFB"/>
            <w:vAlign w:val="top"/>
          </w:tcPr>
          <w:p>
            <w:pPr>
              <w:jc w:val="left"/>
            </w:pPr>
            <w:r>
              <w:rPr>
                <w:rFonts w:ascii="Arial" w:hAnsi="Arial"/>
                <w:color w:val="1F2937"/>
                <w:sz w:val="17"/>
              </w:rPr>
              <w:t>10%</w:t>
            </w:r>
          </w:p>
        </w:tc>
      </w:tr>
      <w:tr>
        <w:trPr>
          <w:cantSplit/>
        </w:trPr>
        <w:tc>
          <w:tcPr>
            <w:tcW w:type="dxa" w:w="7488"/>
            <w:vAlign w:val="top"/>
          </w:tcPr>
          <w:p>
            <w:pPr>
              <w:jc w:val="left"/>
            </w:pPr>
            <w:r>
              <w:rPr>
                <w:rFonts w:ascii="Arial" w:hAnsi="Arial"/>
                <w:color w:val="1F2937"/>
                <w:sz w:val="17"/>
              </w:rPr>
              <w:t>User experience and explainability</w:t>
            </w:r>
          </w:p>
        </w:tc>
        <w:tc>
          <w:tcPr>
            <w:tcW w:type="dxa" w:w="2088"/>
            <w:vAlign w:val="top"/>
          </w:tcPr>
          <w:p>
            <w:pPr>
              <w:jc w:val="left"/>
            </w:pPr>
            <w:r>
              <w:rPr>
                <w:rFonts w:ascii="Arial" w:hAnsi="Arial"/>
                <w:color w:val="1F2937"/>
                <w:sz w:val="17"/>
              </w:rPr>
              <w:t>10%</w:t>
            </w:r>
          </w:p>
        </w:tc>
      </w:tr>
      <w:tr>
        <w:trPr>
          <w:cantSplit/>
        </w:trPr>
        <w:tc>
          <w:tcPr>
            <w:tcW w:type="dxa" w:w="7488"/>
            <w:shd w:fill="F9FAFB"/>
            <w:vAlign w:val="top"/>
          </w:tcPr>
          <w:p>
            <w:pPr>
              <w:jc w:val="left"/>
            </w:pPr>
            <w:r>
              <w:rPr>
                <w:rFonts w:ascii="Arial" w:hAnsi="Arial"/>
                <w:color w:val="1F2937"/>
                <w:sz w:val="17"/>
              </w:rPr>
              <w:t>Testing, reproducibility and documentation</w:t>
            </w:r>
          </w:p>
        </w:tc>
        <w:tc>
          <w:tcPr>
            <w:tcW w:type="dxa" w:w="2088"/>
            <w:shd w:fill="F9FAFB"/>
            <w:vAlign w:val="top"/>
          </w:tcPr>
          <w:p>
            <w:pPr>
              <w:jc w:val="left"/>
            </w:pPr>
            <w:r>
              <w:rPr>
                <w:rFonts w:ascii="Arial" w:hAnsi="Arial"/>
                <w:color w:val="1F2937"/>
                <w:sz w:val="17"/>
              </w:rPr>
              <w:t>5%</w:t>
            </w:r>
          </w:p>
        </w:tc>
      </w:tr>
      <w:tr>
        <w:trPr>
          <w:cantSplit/>
        </w:trPr>
        <w:tc>
          <w:tcPr>
            <w:tcW w:type="dxa" w:w="7488"/>
            <w:vAlign w:val="top"/>
          </w:tcPr>
          <w:p>
            <w:pPr>
              <w:jc w:val="left"/>
            </w:pPr>
            <w:r>
              <w:rPr>
                <w:rFonts w:ascii="Arial" w:hAnsi="Arial"/>
                <w:color w:val="1F2937"/>
                <w:sz w:val="17"/>
              </w:rPr>
              <w:t>Pitch and live demonstration</w:t>
            </w:r>
          </w:p>
        </w:tc>
        <w:tc>
          <w:tcPr>
            <w:tcW w:type="dxa" w:w="2088"/>
            <w:vAlign w:val="top"/>
          </w:tcPr>
          <w:p>
            <w:pPr>
              <w:jc w:val="left"/>
            </w:pPr>
            <w:r>
              <w:rPr>
                <w:rFonts w:ascii="Arial" w:hAnsi="Arial"/>
                <w:color w:val="1F2937"/>
                <w:sz w:val="17"/>
              </w:rPr>
              <w:t>5%</w:t>
            </w:r>
          </w:p>
        </w:tc>
      </w:tr>
    </w:tbl>
    <w:p>
      <w:pPr>
        <w:spacing w:after="0"/>
      </w:pPr>
    </w:p>
    <w:p>
      <w:pPr>
        <w:pStyle w:val="Heading1"/>
      </w:pPr>
      <w:r>
        <w:t>17. Recommended 48-Hour Work Plan</w:t>
      </w:r>
    </w:p>
    <w:tbl>
      <w:tblPr>
        <w:tblStyle w:val="TableGrid"/>
        <w:tblW w:type="auto" w:w="0"/>
        <w:jc w:val="center"/>
        <w:tblLayout w:type="fixed"/>
        <w:tblLook w:firstColumn="1" w:firstRow="1" w:lastColumn="0" w:lastRow="0" w:noHBand="0" w:noVBand="1" w:val="04A0"/>
      </w:tblPr>
      <w:tblGrid>
        <w:gridCol w:w="4874"/>
        <w:gridCol w:w="4874"/>
      </w:tblGrid>
      <w:tr>
        <w:trPr>
          <w:tblHeader w:val="true"/>
        </w:trPr>
        <w:tc>
          <w:tcPr>
            <w:tcW w:type="dxa" w:w="1872"/>
            <w:shd w:fill="166534"/>
            <w:vAlign w:val="center"/>
          </w:tcPr>
          <w:p>
            <w:pPr>
              <w:jc w:val="center"/>
            </w:pPr>
            <w:r>
              <w:rPr>
                <w:rFonts w:ascii="Arial" w:hAnsi="Arial"/>
                <w:b/>
                <w:color w:val="FFFFFF"/>
                <w:sz w:val="17"/>
              </w:rPr>
              <w:t>Period</w:t>
            </w:r>
          </w:p>
        </w:tc>
        <w:tc>
          <w:tcPr>
            <w:tcW w:type="dxa" w:w="7704"/>
            <w:shd w:fill="166534"/>
            <w:vAlign w:val="center"/>
          </w:tcPr>
          <w:p>
            <w:pPr>
              <w:jc w:val="center"/>
            </w:pPr>
            <w:r>
              <w:rPr>
                <w:rFonts w:ascii="Arial" w:hAnsi="Arial"/>
                <w:b/>
                <w:color w:val="FFFFFF"/>
                <w:sz w:val="17"/>
              </w:rPr>
              <w:t>Recommended focus</w:t>
            </w:r>
          </w:p>
        </w:tc>
      </w:tr>
      <w:tr>
        <w:trPr>
          <w:cantSplit/>
        </w:trPr>
        <w:tc>
          <w:tcPr>
            <w:tcW w:type="dxa" w:w="1872"/>
            <w:vAlign w:val="top"/>
          </w:tcPr>
          <w:p>
            <w:pPr>
              <w:jc w:val="left"/>
            </w:pPr>
            <w:r>
              <w:rPr>
                <w:rFonts w:ascii="Arial" w:hAnsi="Arial"/>
                <w:color w:val="1F2937"/>
                <w:sz w:val="17"/>
              </w:rPr>
              <w:t>Hours 0–4</w:t>
            </w:r>
          </w:p>
        </w:tc>
        <w:tc>
          <w:tcPr>
            <w:tcW w:type="dxa" w:w="7704"/>
            <w:vAlign w:val="top"/>
          </w:tcPr>
          <w:p>
            <w:pPr>
              <w:jc w:val="left"/>
            </w:pPr>
            <w:r>
              <w:rPr>
                <w:rFonts w:ascii="Arial" w:hAnsi="Arial"/>
                <w:color w:val="1F2937"/>
                <w:sz w:val="17"/>
              </w:rPr>
              <w:t>Understand requirements, assign roles, inspect data and define architecture.</w:t>
            </w:r>
          </w:p>
        </w:tc>
      </w:tr>
      <w:tr>
        <w:trPr>
          <w:cantSplit/>
        </w:trPr>
        <w:tc>
          <w:tcPr>
            <w:tcW w:type="dxa" w:w="1872"/>
            <w:shd w:fill="F9FAFB"/>
            <w:vAlign w:val="top"/>
          </w:tcPr>
          <w:p>
            <w:pPr>
              <w:jc w:val="left"/>
            </w:pPr>
            <w:r>
              <w:rPr>
                <w:rFonts w:ascii="Arial" w:hAnsi="Arial"/>
                <w:color w:val="1F2937"/>
                <w:sz w:val="17"/>
              </w:rPr>
              <w:t>Hours 4–12</w:t>
            </w:r>
          </w:p>
        </w:tc>
        <w:tc>
          <w:tcPr>
            <w:tcW w:type="dxa" w:w="7704"/>
            <w:shd w:fill="F9FAFB"/>
            <w:vAlign w:val="top"/>
          </w:tcPr>
          <w:p>
            <w:pPr>
              <w:jc w:val="left"/>
            </w:pPr>
            <w:r>
              <w:rPr>
                <w:rFonts w:ascii="Arial" w:hAnsi="Arial"/>
                <w:color w:val="1F2937"/>
                <w:sz w:val="17"/>
              </w:rPr>
              <w:t>Build data model, import pipeline, validation and baseline calculator.</w:t>
            </w:r>
          </w:p>
        </w:tc>
      </w:tr>
      <w:tr>
        <w:trPr>
          <w:cantSplit/>
        </w:trPr>
        <w:tc>
          <w:tcPr>
            <w:tcW w:type="dxa" w:w="1872"/>
            <w:vAlign w:val="top"/>
          </w:tcPr>
          <w:p>
            <w:pPr>
              <w:jc w:val="left"/>
            </w:pPr>
            <w:r>
              <w:rPr>
                <w:rFonts w:ascii="Arial" w:hAnsi="Arial"/>
                <w:color w:val="1F2937"/>
                <w:sz w:val="17"/>
              </w:rPr>
              <w:t>Hours 12–24</w:t>
            </w:r>
          </w:p>
        </w:tc>
        <w:tc>
          <w:tcPr>
            <w:tcW w:type="dxa" w:w="7704"/>
            <w:vAlign w:val="top"/>
          </w:tcPr>
          <w:p>
            <w:pPr>
              <w:jc w:val="left"/>
            </w:pPr>
            <w:r>
              <w:rPr>
                <w:rFonts w:ascii="Arial" w:hAnsi="Arial"/>
                <w:color w:val="1F2937"/>
                <w:sz w:val="17"/>
              </w:rPr>
              <w:t>Implement optimization, constraints, solar/battery and outage logic.</w:t>
            </w:r>
          </w:p>
        </w:tc>
      </w:tr>
      <w:tr>
        <w:trPr>
          <w:cantSplit/>
        </w:trPr>
        <w:tc>
          <w:tcPr>
            <w:tcW w:type="dxa" w:w="1872"/>
            <w:shd w:fill="F9FAFB"/>
            <w:vAlign w:val="top"/>
          </w:tcPr>
          <w:p>
            <w:pPr>
              <w:jc w:val="left"/>
            </w:pPr>
            <w:r>
              <w:rPr>
                <w:rFonts w:ascii="Arial" w:hAnsi="Arial"/>
                <w:color w:val="1F2937"/>
                <w:sz w:val="17"/>
              </w:rPr>
              <w:t>Hours 24–34</w:t>
            </w:r>
          </w:p>
        </w:tc>
        <w:tc>
          <w:tcPr>
            <w:tcW w:type="dxa" w:w="7704"/>
            <w:shd w:fill="F9FAFB"/>
            <w:vAlign w:val="top"/>
          </w:tcPr>
          <w:p>
            <w:pPr>
              <w:jc w:val="left"/>
            </w:pPr>
            <w:r>
              <w:rPr>
                <w:rFonts w:ascii="Arial" w:hAnsi="Arial"/>
                <w:color w:val="1F2937"/>
                <w:sz w:val="17"/>
              </w:rPr>
              <w:t>Build user workflow, dashboard, explanations and export.</w:t>
            </w:r>
          </w:p>
        </w:tc>
      </w:tr>
      <w:tr>
        <w:trPr>
          <w:cantSplit/>
        </w:trPr>
        <w:tc>
          <w:tcPr>
            <w:tcW w:type="dxa" w:w="1872"/>
            <w:vAlign w:val="top"/>
          </w:tcPr>
          <w:p>
            <w:pPr>
              <w:jc w:val="left"/>
            </w:pPr>
            <w:r>
              <w:rPr>
                <w:rFonts w:ascii="Arial" w:hAnsi="Arial"/>
                <w:color w:val="1F2937"/>
                <w:sz w:val="17"/>
              </w:rPr>
              <w:t>Hours 34–42</w:t>
            </w:r>
          </w:p>
        </w:tc>
        <w:tc>
          <w:tcPr>
            <w:tcW w:type="dxa" w:w="7704"/>
            <w:vAlign w:val="top"/>
          </w:tcPr>
          <w:p>
            <w:pPr>
              <w:jc w:val="left"/>
            </w:pPr>
            <w:r>
              <w:rPr>
                <w:rFonts w:ascii="Arial" w:hAnsi="Arial"/>
                <w:color w:val="1F2937"/>
                <w:sz w:val="17"/>
              </w:rPr>
              <w:t>Run public scenarios, create custom data, fix errors and stress-test.</w:t>
            </w:r>
          </w:p>
        </w:tc>
      </w:tr>
      <w:tr>
        <w:trPr>
          <w:cantSplit/>
        </w:trPr>
        <w:tc>
          <w:tcPr>
            <w:tcW w:type="dxa" w:w="1872"/>
            <w:shd w:fill="F9FAFB"/>
            <w:vAlign w:val="top"/>
          </w:tcPr>
          <w:p>
            <w:pPr>
              <w:jc w:val="left"/>
            </w:pPr>
            <w:r>
              <w:rPr>
                <w:rFonts w:ascii="Arial" w:hAnsi="Arial"/>
                <w:color w:val="1F2937"/>
                <w:sz w:val="17"/>
              </w:rPr>
              <w:t>Hours 42–48</w:t>
            </w:r>
          </w:p>
        </w:tc>
        <w:tc>
          <w:tcPr>
            <w:tcW w:type="dxa" w:w="7704"/>
            <w:shd w:fill="F9FAFB"/>
            <w:vAlign w:val="top"/>
          </w:tcPr>
          <w:p>
            <w:pPr>
              <w:jc w:val="left"/>
            </w:pPr>
            <w:r>
              <w:rPr>
                <w:rFonts w:ascii="Arial" w:hAnsi="Arial"/>
                <w:color w:val="1F2937"/>
                <w:sz w:val="17"/>
              </w:rPr>
              <w:t>Finalize documentation, deployment, evidence and pitch.</w:t>
            </w:r>
          </w:p>
        </w:tc>
      </w:tr>
    </w:tbl>
    <w:p>
      <w:pPr>
        <w:spacing w:after="0"/>
      </w:pPr>
    </w:p>
    <w:p>
      <w:pPr>
        <w:pStyle w:val="Heading1"/>
      </w:pPr>
      <w:r>
        <w:t>Reference Sources</w:t>
      </w:r>
    </w:p>
    <w:p>
      <w:r>
        <w:t>The challenge is aligned with the official Sustainable Development Goals. Teams may use any lawful and properly attributed data source; the following are useful starting points:</w:t>
      </w:r>
    </w:p>
    <w:p>
      <w:pPr>
        <w:pStyle w:val="ListBullet"/>
        <w:spacing w:after="60"/>
      </w:pPr>
      <w:r>
        <w:rPr>
          <w:rFonts w:ascii="Arial" w:hAnsi="Arial"/>
          <w:color w:val="1F2937"/>
        </w:rPr>
        <w:t>UN SDG 7: https://sdgs.un.org/goals/goal7</w:t>
      </w:r>
    </w:p>
    <w:p>
      <w:pPr>
        <w:pStyle w:val="ListBullet"/>
        <w:spacing w:after="60"/>
      </w:pPr>
      <w:r>
        <w:rPr>
          <w:rFonts w:ascii="Arial" w:hAnsi="Arial"/>
          <w:color w:val="1F2937"/>
        </w:rPr>
        <w:t>UN SDG 13: https://sdgs.un.org/goals/goal13</w:t>
      </w:r>
    </w:p>
    <w:p>
      <w:pPr>
        <w:pStyle w:val="ListBullet"/>
        <w:spacing w:after="60"/>
      </w:pPr>
      <w:r>
        <w:rPr>
          <w:rFonts w:ascii="Arial" w:hAnsi="Arial"/>
          <w:color w:val="1F2937"/>
        </w:rPr>
        <w:t>Open-Meteo weather documentation: https://open-meteo.com/en/docs</w:t>
      </w:r>
    </w:p>
    <w:p>
      <w:pPr>
        <w:pStyle w:val="ListBullet"/>
        <w:spacing w:after="60"/>
      </w:pPr>
      <w:r>
        <w:rPr>
          <w:rFonts w:ascii="Arial" w:hAnsi="Arial"/>
          <w:color w:val="1F2937"/>
        </w:rPr>
        <w:t>NASA POWER hourly solar and meteorological data: https://power.larc.nasa.gov/docs/services/api/temporal/hourly/</w:t>
      </w:r>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488"/>
      <w:gridCol w:w="2160"/>
    </w:tblGrid>
    <w:tr>
      <w:tc>
        <w:tcPr>
          <w:tcW w:type="dxa" w:w="4824"/>
        </w:tcPr>
        <w:p>
          <w:pPr>
            <w:jc w:val="left"/>
          </w:pPr>
          <w:r>
            <w:rPr>
              <w:rFonts w:ascii="Arial" w:hAnsi="Arial"/>
              <w:color w:val="4B5563"/>
              <w:sz w:val="16"/>
            </w:rPr>
            <w:t>PARTICIPANT DOCUMENT  |  Rapid Forge Buildathon</w:t>
          </w:r>
        </w:p>
      </w:tc>
      <w:tc>
        <w:tcPr>
          <w:tcW w:type="dxa" w:w="4824"/>
        </w:tcPr>
        <w:p>
          <w:pPr>
            <w:jc w:val="right"/>
          </w:pPr>
          <w:r>
            <w:rPr>
              <w:rFonts w:ascii="Arial" w:hAnsi="Arial"/>
              <w:color w:val="4B556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66534"/>
        <w:sz w:val="16"/>
      </w:rPr>
      <w:t>RAPID FORGE  |  COOLSHIFT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4532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45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Arial" w:hAnsi="Arial"/>
      <w:b/>
      <w:color w:val="1453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CoolShift Participant Challenge Handbook</dc:title>
  <dc:subject>Rapid Forge Buildathon - CoolShift</dc:subject>
  <dc:creator>Rapid Forge Buildathon Organizing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