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648"/>
      </w:tblGrid>
      <w:tr>
        <w:tc>
          <w:tcPr>
            <w:tcW w:type="dxa" w:w="9749"/>
            <w:shd w:fill="166534"/>
            <w:vAlign w:val="center"/>
          </w:tcPr>
          <w:p>
            <w:pPr>
              <w:spacing w:before="240" w:after="240"/>
              <w:jc w:val="center"/>
            </w:pPr>
            <w:r>
              <w:rPr>
                <w:rFonts w:ascii="Arial" w:hAnsi="Arial"/>
                <w:b/>
                <w:color w:val="FFFFFF"/>
                <w:sz w:val="34"/>
              </w:rPr>
              <w:t>RAPID FORGE BUILDATHON</w:t>
            </w:r>
          </w:p>
        </w:tc>
      </w:tr>
    </w:tbl>
    <w:p/>
    <w:p>
      <w:pPr>
        <w:spacing w:after="140"/>
        <w:jc w:val="center"/>
      </w:pPr>
      <w:r>
        <w:rPr>
          <w:rFonts w:ascii="Arial" w:hAnsi="Arial"/>
          <w:b/>
          <w:color w:val="14532D"/>
          <w:sz w:val="60"/>
        </w:rPr>
        <w:t>COOLSHIFT</w:t>
      </w:r>
    </w:p>
    <w:p>
      <w:pPr>
        <w:jc w:val="center"/>
      </w:pPr>
      <w:r>
        <w:rPr>
          <w:rFonts w:ascii="Arial" w:hAnsi="Arial"/>
          <w:b/>
          <w:color w:val="F59E0B"/>
          <w:sz w:val="30"/>
        </w:rPr>
        <w:t>Technical and Data Specification</w:t>
      </w:r>
    </w:p>
    <w:p>
      <w:pPr>
        <w:spacing w:before="320"/>
        <w:jc w:val="center"/>
      </w:pPr>
      <w:r>
        <w:rPr>
          <w:rFonts w:ascii="Arial" w:hAnsi="Arial"/>
          <w:b/>
          <w:color w:val="1F2937"/>
          <w:sz w:val="22"/>
        </w:rPr>
        <w:t>SDG 7: Affordable and Clean Energy  |  SDG 13: Climate Action</w:t>
      </w:r>
    </w:p>
    <w:tbl>
      <w:tblPr>
        <w:tblW w:type="auto" w:w="0"/>
        <w:jc w:val="center"/>
        <w:tblLayout w:type="fixed"/>
        <w:tblLook w:firstColumn="1" w:firstRow="1" w:lastColumn="0" w:lastRow="0" w:noHBand="0" w:noVBand="1" w:val="04A0"/>
      </w:tblPr>
      <w:tblGrid>
        <w:gridCol w:w="8352"/>
      </w:tblGrid>
      <w:tr>
        <w:tc>
          <w:tcPr>
            <w:tcW w:type="dxa" w:w="9749"/>
            <w:shd w:fill="F0FDF4"/>
            <w:tcBorders>
              <w:top w:val="single" w:sz="10" w:color="166534"/>
              <w:left w:val="single" w:sz="10" w:color="166534"/>
              <w:bottom w:val="single" w:sz="10" w:color="166534"/>
              <w:right w:val="single" w:sz="10" w:color="166534"/>
            </w:tcBorders>
          </w:tcPr>
          <w:p>
            <w:pPr>
              <w:jc w:val="center"/>
            </w:pPr>
            <w:r>
              <w:rPr>
                <w:rFonts w:ascii="Arial" w:hAnsi="Arial"/>
                <w:b/>
                <w:color w:val="166534"/>
                <w:sz w:val="20"/>
              </w:rPr>
              <w:t>PARTICIPANT DOCUMENT</w:t>
            </w:r>
          </w:p>
        </w:tc>
      </w:tr>
    </w:tbl>
    <w:p/>
    <w:p>
      <w:pPr>
        <w:jc w:val="center"/>
      </w:pPr>
      <w:r>
        <w:rPr>
          <w:rFonts w:ascii="Arial" w:hAnsi="Arial"/>
          <w:b/>
          <w:color w:val="1F2937"/>
          <w:sz w:val="24"/>
        </w:rPr>
        <w:t>48-Hour Product Development Challenge</w:t>
      </w:r>
    </w:p>
    <w:p>
      <w:r>
        <w:br w:type="page"/>
      </w:r>
    </w:p>
    <w:p>
      <w:pPr>
        <w:pStyle w:val="Heading1"/>
      </w:pPr>
      <w:r>
        <w:t>1. Purpose</w:t>
      </w:r>
    </w:p>
    <w:p>
      <w:r>
        <w:t>This document defines the required inputs, data formats, calculations, output schemas, constraints and testing volumes for the CoolShift challenge. It should be read together with the Participant Challenge Handbook and the Submission, Testing and Evaluation Guide.</w:t>
      </w:r>
    </w:p>
    <w:tbl>
      <w:tblPr>
        <w:tblW w:type="auto" w:w="0"/>
        <w:jc w:val="center"/>
        <w:tblLayout w:type="fixed"/>
        <w:tblLook w:firstColumn="1" w:firstRow="1" w:lastColumn="0" w:lastRow="0" w:noHBand="0" w:noVBand="1" w:val="04A0"/>
      </w:tblPr>
      <w:tblGrid>
        <w:gridCol w:w="9576"/>
      </w:tblGrid>
      <w:tr>
        <w:tc>
          <w:tcPr>
            <w:tcW w:type="dxa" w:w="9749"/>
            <w:shd w:fill="DCFCE7"/>
            <w:tcBorders>
              <w:top w:val="single" w:sz="8" w:color="166534"/>
              <w:left w:val="single" w:sz="8" w:color="166534"/>
              <w:bottom w:val="single" w:sz="8" w:color="166534"/>
              <w:right w:val="single" w:sz="8" w:color="166534"/>
            </w:tcBorders>
          </w:tcPr>
          <w:p>
            <w:r>
              <w:rPr>
                <w:rFonts w:ascii="Arial" w:hAnsi="Arial"/>
                <w:b/>
                <w:color w:val="14532D"/>
                <w:sz w:val="21"/>
              </w:rPr>
              <w:t>Required Resolution</w:t>
              <w:br/>
            </w:r>
            <w:r>
              <w:rPr>
                <w:rFonts w:ascii="Arial" w:hAnsi="Arial"/>
                <w:color w:val="1F2937"/>
                <w:sz w:val="19"/>
              </w:rPr>
              <w:t>All public evaluation data and all mandatory schedule outputs use 15-minute intervals. One day therefore contains exactly 96 records.</w:t>
            </w:r>
          </w:p>
        </w:tc>
      </w:tr>
    </w:tbl>
    <w:p>
      <w:pPr>
        <w:spacing w:after="0"/>
      </w:pPr>
    </w:p>
    <w:p>
      <w:pPr>
        <w:pStyle w:val="Heading1"/>
      </w:pPr>
      <w:r>
        <w:t>2. Public Dataset Structure</w:t>
      </w:r>
    </w:p>
    <w:tbl>
      <w:tblPr>
        <w:tblStyle w:val="TableGrid"/>
        <w:tblW w:type="auto" w:w="0"/>
        <w:jc w:val="center"/>
        <w:tblLayout w:type="fixed"/>
        <w:tblLook w:firstColumn="1" w:firstRow="1" w:lastColumn="0" w:lastRow="0" w:noHBand="0" w:noVBand="1" w:val="04A0"/>
      </w:tblPr>
      <w:tblGrid>
        <w:gridCol w:w="4874"/>
        <w:gridCol w:w="4874"/>
      </w:tblGrid>
      <w:tr>
        <w:trPr>
          <w:tblHeader w:val="true"/>
        </w:trPr>
        <w:tc>
          <w:tcPr>
            <w:tcW w:type="dxa" w:w="5040"/>
            <w:shd w:fill="166534"/>
            <w:vAlign w:val="center"/>
          </w:tcPr>
          <w:p>
            <w:pPr>
              <w:jc w:val="center"/>
            </w:pPr>
            <w:r>
              <w:rPr>
                <w:rFonts w:ascii="Arial" w:hAnsi="Arial"/>
                <w:b/>
                <w:color w:val="FFFFFF"/>
                <w:sz w:val="17"/>
              </w:rPr>
              <w:t>Component</w:t>
            </w:r>
          </w:p>
        </w:tc>
        <w:tc>
          <w:tcPr>
            <w:tcW w:type="dxa" w:w="4536"/>
            <w:shd w:fill="166534"/>
            <w:vAlign w:val="center"/>
          </w:tcPr>
          <w:p>
            <w:pPr>
              <w:jc w:val="center"/>
            </w:pPr>
            <w:r>
              <w:rPr>
                <w:rFonts w:ascii="Arial" w:hAnsi="Arial"/>
                <w:b/>
                <w:color w:val="FFFFFF"/>
                <w:sz w:val="17"/>
              </w:rPr>
              <w:t>Volume</w:t>
            </w:r>
          </w:p>
        </w:tc>
      </w:tr>
      <w:tr>
        <w:trPr>
          <w:cantSplit/>
        </w:trPr>
        <w:tc>
          <w:tcPr>
            <w:tcW w:type="dxa" w:w="5040"/>
            <w:vAlign w:val="top"/>
          </w:tcPr>
          <w:p>
            <w:pPr>
              <w:jc w:val="left"/>
            </w:pPr>
            <w:r>
              <w:rPr>
                <w:rFonts w:ascii="Arial" w:hAnsi="Arial"/>
                <w:color w:val="1F2937"/>
                <w:sz w:val="17"/>
              </w:rPr>
              <w:t>Public scenarios</w:t>
            </w:r>
          </w:p>
        </w:tc>
        <w:tc>
          <w:tcPr>
            <w:tcW w:type="dxa" w:w="4536"/>
            <w:vAlign w:val="top"/>
          </w:tcPr>
          <w:p>
            <w:pPr>
              <w:jc w:val="left"/>
            </w:pPr>
            <w:r>
              <w:rPr>
                <w:rFonts w:ascii="Arial" w:hAnsi="Arial"/>
                <w:color w:val="1F2937"/>
                <w:sz w:val="17"/>
              </w:rPr>
              <w:t>3</w:t>
            </w:r>
          </w:p>
        </w:tc>
      </w:tr>
      <w:tr>
        <w:trPr>
          <w:cantSplit/>
        </w:trPr>
        <w:tc>
          <w:tcPr>
            <w:tcW w:type="dxa" w:w="5040"/>
            <w:shd w:fill="F9FAFB"/>
            <w:vAlign w:val="top"/>
          </w:tcPr>
          <w:p>
            <w:pPr>
              <w:jc w:val="left"/>
            </w:pPr>
            <w:r>
              <w:rPr>
                <w:rFonts w:ascii="Arial" w:hAnsi="Arial"/>
                <w:color w:val="1F2937"/>
                <w:sz w:val="17"/>
              </w:rPr>
              <w:t>Duration per scenario</w:t>
            </w:r>
          </w:p>
        </w:tc>
        <w:tc>
          <w:tcPr>
            <w:tcW w:type="dxa" w:w="4536"/>
            <w:shd w:fill="F9FAFB"/>
            <w:vAlign w:val="top"/>
          </w:tcPr>
          <w:p>
            <w:pPr>
              <w:jc w:val="left"/>
            </w:pPr>
            <w:r>
              <w:rPr>
                <w:rFonts w:ascii="Arial" w:hAnsi="Arial"/>
                <w:color w:val="1F2937"/>
                <w:sz w:val="17"/>
              </w:rPr>
              <w:t>30 consecutive days</w:t>
            </w:r>
          </w:p>
        </w:tc>
      </w:tr>
      <w:tr>
        <w:trPr>
          <w:cantSplit/>
        </w:trPr>
        <w:tc>
          <w:tcPr>
            <w:tcW w:type="dxa" w:w="5040"/>
            <w:vAlign w:val="top"/>
          </w:tcPr>
          <w:p>
            <w:pPr>
              <w:jc w:val="left"/>
            </w:pPr>
            <w:r>
              <w:rPr>
                <w:rFonts w:ascii="Arial" w:hAnsi="Arial"/>
                <w:color w:val="1F2937"/>
                <w:sz w:val="17"/>
              </w:rPr>
              <w:t>Interval</w:t>
            </w:r>
          </w:p>
        </w:tc>
        <w:tc>
          <w:tcPr>
            <w:tcW w:type="dxa" w:w="4536"/>
            <w:vAlign w:val="top"/>
          </w:tcPr>
          <w:p>
            <w:pPr>
              <w:jc w:val="left"/>
            </w:pPr>
            <w:r>
              <w:rPr>
                <w:rFonts w:ascii="Arial" w:hAnsi="Arial"/>
                <w:color w:val="1F2937"/>
                <w:sz w:val="17"/>
              </w:rPr>
              <w:t>15 minutes</w:t>
            </w:r>
          </w:p>
        </w:tc>
      </w:tr>
      <w:tr>
        <w:trPr>
          <w:cantSplit/>
        </w:trPr>
        <w:tc>
          <w:tcPr>
            <w:tcW w:type="dxa" w:w="5040"/>
            <w:shd w:fill="F9FAFB"/>
            <w:vAlign w:val="top"/>
          </w:tcPr>
          <w:p>
            <w:pPr>
              <w:jc w:val="left"/>
            </w:pPr>
            <w:r>
              <w:rPr>
                <w:rFonts w:ascii="Arial" w:hAnsi="Arial"/>
                <w:color w:val="1F2937"/>
                <w:sz w:val="17"/>
              </w:rPr>
              <w:t>Records per day</w:t>
            </w:r>
          </w:p>
        </w:tc>
        <w:tc>
          <w:tcPr>
            <w:tcW w:type="dxa" w:w="4536"/>
            <w:shd w:fill="F9FAFB"/>
            <w:vAlign w:val="top"/>
          </w:tcPr>
          <w:p>
            <w:pPr>
              <w:jc w:val="left"/>
            </w:pPr>
            <w:r>
              <w:rPr>
                <w:rFonts w:ascii="Arial" w:hAnsi="Arial"/>
                <w:color w:val="1F2937"/>
                <w:sz w:val="17"/>
              </w:rPr>
              <w:t>96</w:t>
            </w:r>
          </w:p>
        </w:tc>
      </w:tr>
      <w:tr>
        <w:trPr>
          <w:cantSplit/>
        </w:trPr>
        <w:tc>
          <w:tcPr>
            <w:tcW w:type="dxa" w:w="5040"/>
            <w:vAlign w:val="top"/>
          </w:tcPr>
          <w:p>
            <w:pPr>
              <w:jc w:val="left"/>
            </w:pPr>
            <w:r>
              <w:rPr>
                <w:rFonts w:ascii="Arial" w:hAnsi="Arial"/>
                <w:color w:val="1F2937"/>
                <w:sz w:val="17"/>
              </w:rPr>
              <w:t>Records per scenario</w:t>
            </w:r>
          </w:p>
        </w:tc>
        <w:tc>
          <w:tcPr>
            <w:tcW w:type="dxa" w:w="4536"/>
            <w:vAlign w:val="top"/>
          </w:tcPr>
          <w:p>
            <w:pPr>
              <w:jc w:val="left"/>
            </w:pPr>
            <w:r>
              <w:rPr>
                <w:rFonts w:ascii="Arial" w:hAnsi="Arial"/>
                <w:color w:val="1F2937"/>
                <w:sz w:val="17"/>
              </w:rPr>
              <w:t>2,880</w:t>
            </w:r>
          </w:p>
        </w:tc>
      </w:tr>
      <w:tr>
        <w:trPr>
          <w:cantSplit/>
        </w:trPr>
        <w:tc>
          <w:tcPr>
            <w:tcW w:type="dxa" w:w="5040"/>
            <w:shd w:fill="F9FAFB"/>
            <w:vAlign w:val="top"/>
          </w:tcPr>
          <w:p>
            <w:pPr>
              <w:jc w:val="left"/>
            </w:pPr>
            <w:r>
              <w:rPr>
                <w:rFonts w:ascii="Arial" w:hAnsi="Arial"/>
                <w:color w:val="1F2937"/>
                <w:sz w:val="17"/>
              </w:rPr>
              <w:t>Total public interval records</w:t>
            </w:r>
          </w:p>
        </w:tc>
        <w:tc>
          <w:tcPr>
            <w:tcW w:type="dxa" w:w="4536"/>
            <w:shd w:fill="F9FAFB"/>
            <w:vAlign w:val="top"/>
          </w:tcPr>
          <w:p>
            <w:pPr>
              <w:jc w:val="left"/>
            </w:pPr>
            <w:r>
              <w:rPr>
                <w:rFonts w:ascii="Arial" w:hAnsi="Arial"/>
                <w:color w:val="1F2937"/>
                <w:sz w:val="17"/>
              </w:rPr>
              <w:t>8,640</w:t>
            </w:r>
          </w:p>
        </w:tc>
      </w:tr>
      <w:tr>
        <w:trPr>
          <w:cantSplit/>
        </w:trPr>
        <w:tc>
          <w:tcPr>
            <w:tcW w:type="dxa" w:w="5040"/>
            <w:vAlign w:val="top"/>
          </w:tcPr>
          <w:p>
            <w:pPr>
              <w:jc w:val="left"/>
            </w:pPr>
            <w:r>
              <w:rPr>
                <w:rFonts w:ascii="Arial" w:hAnsi="Arial"/>
                <w:color w:val="1F2937"/>
                <w:sz w:val="17"/>
              </w:rPr>
              <w:t>Required output window</w:t>
            </w:r>
          </w:p>
        </w:tc>
        <w:tc>
          <w:tcPr>
            <w:tcW w:type="dxa" w:w="4536"/>
            <w:vAlign w:val="top"/>
          </w:tcPr>
          <w:p>
            <w:pPr>
              <w:jc w:val="left"/>
            </w:pPr>
            <w:r>
              <w:rPr>
                <w:rFonts w:ascii="Arial" w:hAnsi="Arial"/>
                <w:color w:val="1F2937"/>
                <w:sz w:val="17"/>
              </w:rPr>
              <w:t>7 consecutive days per public scenario</w:t>
            </w:r>
          </w:p>
        </w:tc>
      </w:tr>
      <w:tr>
        <w:trPr>
          <w:cantSplit/>
        </w:trPr>
        <w:tc>
          <w:tcPr>
            <w:tcW w:type="dxa" w:w="5040"/>
            <w:shd w:fill="F9FAFB"/>
            <w:vAlign w:val="top"/>
          </w:tcPr>
          <w:p>
            <w:pPr>
              <w:jc w:val="left"/>
            </w:pPr>
            <w:r>
              <w:rPr>
                <w:rFonts w:ascii="Arial" w:hAnsi="Arial"/>
                <w:color w:val="1F2937"/>
                <w:sz w:val="17"/>
              </w:rPr>
              <w:t>Team-created scenario</w:t>
            </w:r>
          </w:p>
        </w:tc>
        <w:tc>
          <w:tcPr>
            <w:tcW w:type="dxa" w:w="4536"/>
            <w:shd w:fill="F9FAFB"/>
            <w:vAlign w:val="top"/>
          </w:tcPr>
          <w:p>
            <w:pPr>
              <w:jc w:val="left"/>
            </w:pPr>
            <w:r>
              <w:rPr>
                <w:rFonts w:ascii="Arial" w:hAnsi="Arial"/>
                <w:color w:val="1F2937"/>
                <w:sz w:val="17"/>
              </w:rPr>
              <w:t>At least 7 days / 672 interval records</w:t>
            </w:r>
          </w:p>
        </w:tc>
      </w:tr>
      <w:tr>
        <w:trPr>
          <w:cantSplit/>
        </w:trPr>
        <w:tc>
          <w:tcPr>
            <w:tcW w:type="dxa" w:w="5040"/>
            <w:vAlign w:val="top"/>
          </w:tcPr>
          <w:p>
            <w:pPr>
              <w:jc w:val="left"/>
            </w:pPr>
            <w:r>
              <w:rPr>
                <w:rFonts w:ascii="Arial" w:hAnsi="Arial"/>
                <w:color w:val="1F2937"/>
                <w:sz w:val="17"/>
              </w:rPr>
              <w:t>Minimum submitted optimized outputs</w:t>
            </w:r>
          </w:p>
        </w:tc>
        <w:tc>
          <w:tcPr>
            <w:tcW w:type="dxa" w:w="4536"/>
            <w:vAlign w:val="top"/>
          </w:tcPr>
          <w:p>
            <w:pPr>
              <w:jc w:val="left"/>
            </w:pPr>
            <w:r>
              <w:rPr>
                <w:rFonts w:ascii="Arial" w:hAnsi="Arial"/>
                <w:color w:val="1F2937"/>
                <w:sz w:val="17"/>
              </w:rPr>
              <w:t>2,688 interval records across 4 scenarios</w:t>
            </w:r>
          </w:p>
        </w:tc>
      </w:tr>
    </w:tbl>
    <w:p>
      <w:pPr>
        <w:spacing w:after="0"/>
      </w:pPr>
    </w:p>
    <w:p>
      <w:pPr>
        <w:pStyle w:val="Heading1"/>
      </w:pPr>
      <w:r>
        <w:t>3. Public Scenarios</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trPr>
        <w:tc>
          <w:tcPr>
            <w:tcW w:type="dxa" w:w="1296"/>
            <w:shd w:fill="166534"/>
            <w:vAlign w:val="center"/>
          </w:tcPr>
          <w:p>
            <w:pPr>
              <w:jc w:val="center"/>
            </w:pPr>
            <w:r>
              <w:rPr>
                <w:rFonts w:ascii="Arial" w:hAnsi="Arial"/>
                <w:b/>
                <w:color w:val="FFFFFF"/>
                <w:sz w:val="17"/>
              </w:rPr>
              <w:t>ID</w:t>
            </w:r>
          </w:p>
        </w:tc>
        <w:tc>
          <w:tcPr>
            <w:tcW w:type="dxa" w:w="3024"/>
            <w:shd w:fill="166534"/>
            <w:vAlign w:val="center"/>
          </w:tcPr>
          <w:p>
            <w:pPr>
              <w:jc w:val="center"/>
            </w:pPr>
            <w:r>
              <w:rPr>
                <w:rFonts w:ascii="Arial" w:hAnsi="Arial"/>
                <w:b/>
                <w:color w:val="FFFFFF"/>
                <w:sz w:val="17"/>
              </w:rPr>
              <w:t>Scenario</w:t>
            </w:r>
          </w:p>
        </w:tc>
        <w:tc>
          <w:tcPr>
            <w:tcW w:type="dxa" w:w="5256"/>
            <w:shd w:fill="166534"/>
            <w:vAlign w:val="center"/>
          </w:tcPr>
          <w:p>
            <w:pPr>
              <w:jc w:val="center"/>
            </w:pPr>
            <w:r>
              <w:rPr>
                <w:rFonts w:ascii="Arial" w:hAnsi="Arial"/>
                <w:b/>
                <w:color w:val="FFFFFF"/>
                <w:sz w:val="17"/>
              </w:rPr>
              <w:t>Purpose</w:t>
            </w:r>
          </w:p>
        </w:tc>
      </w:tr>
      <w:tr>
        <w:trPr>
          <w:cantSplit/>
        </w:trPr>
        <w:tc>
          <w:tcPr>
            <w:tcW w:type="dxa" w:w="1296"/>
            <w:vAlign w:val="top"/>
          </w:tcPr>
          <w:p>
            <w:pPr>
              <w:jc w:val="left"/>
            </w:pPr>
            <w:r>
              <w:rPr>
                <w:rFonts w:ascii="Arial" w:hAnsi="Arial"/>
                <w:color w:val="1F2937"/>
                <w:sz w:val="17"/>
              </w:rPr>
              <w:t>PUB-A</w:t>
            </w:r>
          </w:p>
        </w:tc>
        <w:tc>
          <w:tcPr>
            <w:tcW w:type="dxa" w:w="3024"/>
            <w:vAlign w:val="top"/>
          </w:tcPr>
          <w:p>
            <w:pPr>
              <w:jc w:val="left"/>
            </w:pPr>
            <w:r>
              <w:rPr>
                <w:rFonts w:ascii="Arial" w:hAnsi="Arial"/>
                <w:color w:val="1F2937"/>
                <w:sz w:val="17"/>
              </w:rPr>
              <w:t>Household without solar</w:t>
            </w:r>
          </w:p>
        </w:tc>
        <w:tc>
          <w:tcPr>
            <w:tcW w:type="dxa" w:w="5256"/>
            <w:vAlign w:val="top"/>
          </w:tcPr>
          <w:p>
            <w:pPr>
              <w:jc w:val="left"/>
            </w:pPr>
            <w:r>
              <w:rPr>
                <w:rFonts w:ascii="Arial" w:hAnsi="Arial"/>
                <w:color w:val="1F2937"/>
                <w:sz w:val="17"/>
              </w:rPr>
              <w:t>Tests affordability, peak tariff response and outage handling with limited resources.</w:t>
            </w:r>
          </w:p>
        </w:tc>
      </w:tr>
      <w:tr>
        <w:trPr>
          <w:cantSplit/>
        </w:trPr>
        <w:tc>
          <w:tcPr>
            <w:tcW w:type="dxa" w:w="1296"/>
            <w:shd w:fill="F9FAFB"/>
            <w:vAlign w:val="top"/>
          </w:tcPr>
          <w:p>
            <w:pPr>
              <w:jc w:val="left"/>
            </w:pPr>
            <w:r>
              <w:rPr>
                <w:rFonts w:ascii="Arial" w:hAnsi="Arial"/>
                <w:color w:val="1F2937"/>
                <w:sz w:val="17"/>
              </w:rPr>
              <w:t>PUB-B</w:t>
            </w:r>
          </w:p>
        </w:tc>
        <w:tc>
          <w:tcPr>
            <w:tcW w:type="dxa" w:w="3024"/>
            <w:shd w:fill="F9FAFB"/>
            <w:vAlign w:val="top"/>
          </w:tcPr>
          <w:p>
            <w:pPr>
              <w:jc w:val="left"/>
            </w:pPr>
            <w:r>
              <w:rPr>
                <w:rFonts w:ascii="Arial" w:hAnsi="Arial"/>
                <w:color w:val="1F2937"/>
                <w:sz w:val="17"/>
              </w:rPr>
              <w:t>Household with solar and battery</w:t>
            </w:r>
          </w:p>
        </w:tc>
        <w:tc>
          <w:tcPr>
            <w:tcW w:type="dxa" w:w="5256"/>
            <w:shd w:fill="F9FAFB"/>
            <w:vAlign w:val="top"/>
          </w:tcPr>
          <w:p>
            <w:pPr>
              <w:jc w:val="left"/>
            </w:pPr>
            <w:r>
              <w:rPr>
                <w:rFonts w:ascii="Arial" w:hAnsi="Arial"/>
                <w:color w:val="1F2937"/>
                <w:sz w:val="17"/>
              </w:rPr>
              <w:t>Tests solar utilization, battery reserve, charging/discharging and comfort trade-offs.</w:t>
            </w:r>
          </w:p>
        </w:tc>
      </w:tr>
      <w:tr>
        <w:trPr>
          <w:cantSplit/>
        </w:trPr>
        <w:tc>
          <w:tcPr>
            <w:tcW w:type="dxa" w:w="1296"/>
            <w:vAlign w:val="top"/>
          </w:tcPr>
          <w:p>
            <w:pPr>
              <w:jc w:val="left"/>
            </w:pPr>
            <w:r>
              <w:rPr>
                <w:rFonts w:ascii="Arial" w:hAnsi="Arial"/>
                <w:color w:val="1F2937"/>
                <w:sz w:val="17"/>
              </w:rPr>
              <w:t>PUB-C</w:t>
            </w:r>
          </w:p>
        </w:tc>
        <w:tc>
          <w:tcPr>
            <w:tcW w:type="dxa" w:w="3024"/>
            <w:vAlign w:val="top"/>
          </w:tcPr>
          <w:p>
            <w:pPr>
              <w:jc w:val="left"/>
            </w:pPr>
            <w:r>
              <w:rPr>
                <w:rFonts w:ascii="Arial" w:hAnsi="Arial"/>
                <w:color w:val="1F2937"/>
                <w:sz w:val="17"/>
              </w:rPr>
              <w:t>School or small office</w:t>
            </w:r>
          </w:p>
        </w:tc>
        <w:tc>
          <w:tcPr>
            <w:tcW w:type="dxa" w:w="5256"/>
            <w:vAlign w:val="top"/>
          </w:tcPr>
          <w:p>
            <w:pPr>
              <w:jc w:val="left"/>
            </w:pPr>
            <w:r>
              <w:rPr>
                <w:rFonts w:ascii="Arial" w:hAnsi="Arial"/>
                <w:color w:val="1F2937"/>
                <w:sz w:val="17"/>
              </w:rPr>
              <w:t>Tests multi-room occupancy, daytime heat, prioritization and budget constraints.</w:t>
            </w:r>
          </w:p>
        </w:tc>
      </w:tr>
    </w:tbl>
    <w:p>
      <w:pPr>
        <w:spacing w:after="0"/>
      </w:pPr>
    </w:p>
    <w:p>
      <w:pPr>
        <w:pStyle w:val="Heading1"/>
      </w:pPr>
      <w:r>
        <w:t>4. Required Input Domains</w:t>
      </w:r>
    </w:p>
    <w:tbl>
      <w:tblPr>
        <w:tblStyle w:val="TableGrid"/>
        <w:tblW w:type="auto" w:w="0"/>
        <w:jc w:val="center"/>
        <w:tblLayout w:type="fixed"/>
        <w:tblLook w:firstColumn="1" w:firstRow="1" w:lastColumn="0" w:lastRow="0" w:noHBand="0" w:noVBand="1" w:val="04A0"/>
      </w:tblPr>
      <w:tblGrid>
        <w:gridCol w:w="4874"/>
        <w:gridCol w:w="4874"/>
      </w:tblGrid>
      <w:tr>
        <w:trPr>
          <w:tblHeader w:val="true"/>
        </w:trPr>
        <w:tc>
          <w:tcPr>
            <w:tcW w:type="dxa" w:w="2088"/>
            <w:shd w:fill="166534"/>
            <w:vAlign w:val="center"/>
          </w:tcPr>
          <w:p>
            <w:pPr>
              <w:jc w:val="center"/>
            </w:pPr>
            <w:r>
              <w:rPr>
                <w:rFonts w:ascii="Arial" w:hAnsi="Arial"/>
                <w:b/>
                <w:color w:val="FFFFFF"/>
                <w:sz w:val="17"/>
              </w:rPr>
              <w:t>Domain</w:t>
            </w:r>
          </w:p>
        </w:tc>
        <w:tc>
          <w:tcPr>
            <w:tcW w:type="dxa" w:w="7488"/>
            <w:shd w:fill="166534"/>
            <w:vAlign w:val="center"/>
          </w:tcPr>
          <w:p>
            <w:pPr>
              <w:jc w:val="center"/>
            </w:pPr>
            <w:r>
              <w:rPr>
                <w:rFonts w:ascii="Arial" w:hAnsi="Arial"/>
                <w:b/>
                <w:color w:val="FFFFFF"/>
                <w:sz w:val="17"/>
              </w:rPr>
              <w:t>Required fields</w:t>
            </w:r>
          </w:p>
        </w:tc>
      </w:tr>
      <w:tr>
        <w:trPr>
          <w:cantSplit/>
        </w:trPr>
        <w:tc>
          <w:tcPr>
            <w:tcW w:type="dxa" w:w="2088"/>
            <w:vAlign w:val="top"/>
          </w:tcPr>
          <w:p>
            <w:pPr>
              <w:jc w:val="left"/>
            </w:pPr>
            <w:r>
              <w:rPr>
                <w:rFonts w:ascii="Arial" w:hAnsi="Arial"/>
                <w:color w:val="1F2937"/>
                <w:sz w:val="17"/>
              </w:rPr>
              <w:t>Run metadata</w:t>
            </w:r>
          </w:p>
        </w:tc>
        <w:tc>
          <w:tcPr>
            <w:tcW w:type="dxa" w:w="7488"/>
            <w:vAlign w:val="top"/>
          </w:tcPr>
          <w:p>
            <w:pPr>
              <w:jc w:val="left"/>
            </w:pPr>
            <w:r>
              <w:rPr>
                <w:rFonts w:ascii="Arial" w:hAnsi="Arial"/>
                <w:color w:val="1F2937"/>
                <w:sz w:val="17"/>
              </w:rPr>
              <w:t>scenario_id, run_id, timezone, start timestamp, interval_minutes, algorithm_version</w:t>
            </w:r>
          </w:p>
        </w:tc>
      </w:tr>
      <w:tr>
        <w:trPr>
          <w:cantSplit/>
        </w:trPr>
        <w:tc>
          <w:tcPr>
            <w:tcW w:type="dxa" w:w="2088"/>
            <w:shd w:fill="F9FAFB"/>
            <w:vAlign w:val="top"/>
          </w:tcPr>
          <w:p>
            <w:pPr>
              <w:jc w:val="left"/>
            </w:pPr>
            <w:r>
              <w:rPr>
                <w:rFonts w:ascii="Arial" w:hAnsi="Arial"/>
                <w:color w:val="1F2937"/>
                <w:sz w:val="17"/>
              </w:rPr>
              <w:t>Location/weather</w:t>
            </w:r>
          </w:p>
        </w:tc>
        <w:tc>
          <w:tcPr>
            <w:tcW w:type="dxa" w:w="7488"/>
            <w:shd w:fill="F9FAFB"/>
            <w:vAlign w:val="top"/>
          </w:tcPr>
          <w:p>
            <w:pPr>
              <w:jc w:val="left"/>
            </w:pPr>
            <w:r>
              <w:rPr>
                <w:rFonts w:ascii="Arial" w:hAnsi="Arial"/>
                <w:color w:val="1F2937"/>
                <w:sz w:val="17"/>
              </w:rPr>
              <w:t>latitude, longitude, temperature, relative humidity, heat index/feels-like temperature, solar irradiance, sunrise/sunset where available</w:t>
            </w:r>
          </w:p>
        </w:tc>
      </w:tr>
      <w:tr>
        <w:trPr>
          <w:cantSplit/>
        </w:trPr>
        <w:tc>
          <w:tcPr>
            <w:tcW w:type="dxa" w:w="2088"/>
            <w:vAlign w:val="top"/>
          </w:tcPr>
          <w:p>
            <w:pPr>
              <w:jc w:val="left"/>
            </w:pPr>
            <w:r>
              <w:rPr>
                <w:rFonts w:ascii="Arial" w:hAnsi="Arial"/>
                <w:color w:val="1F2937"/>
                <w:sz w:val="17"/>
              </w:rPr>
              <w:t>Building</w:t>
            </w:r>
          </w:p>
        </w:tc>
        <w:tc>
          <w:tcPr>
            <w:tcW w:type="dxa" w:w="7488"/>
            <w:vAlign w:val="top"/>
          </w:tcPr>
          <w:p>
            <w:pPr>
              <w:jc w:val="left"/>
            </w:pPr>
            <w:r>
              <w:rPr>
                <w:rFonts w:ascii="Arial" w:hAnsi="Arial"/>
                <w:color w:val="1F2937"/>
                <w:sz w:val="17"/>
              </w:rPr>
              <w:t>building type, area, rooms/zones, insulation level, window exposure, floor level, thermal category</w:t>
            </w:r>
          </w:p>
        </w:tc>
      </w:tr>
      <w:tr>
        <w:trPr>
          <w:cantSplit/>
        </w:trPr>
        <w:tc>
          <w:tcPr>
            <w:tcW w:type="dxa" w:w="2088"/>
            <w:shd w:fill="F9FAFB"/>
            <w:vAlign w:val="top"/>
          </w:tcPr>
          <w:p>
            <w:pPr>
              <w:jc w:val="left"/>
            </w:pPr>
            <w:r>
              <w:rPr>
                <w:rFonts w:ascii="Arial" w:hAnsi="Arial"/>
                <w:color w:val="1F2937"/>
                <w:sz w:val="17"/>
              </w:rPr>
              <w:t>Occupancy</w:t>
            </w:r>
          </w:p>
        </w:tc>
        <w:tc>
          <w:tcPr>
            <w:tcW w:type="dxa" w:w="7488"/>
            <w:shd w:fill="F9FAFB"/>
            <w:vAlign w:val="top"/>
          </w:tcPr>
          <w:p>
            <w:pPr>
              <w:jc w:val="left"/>
            </w:pPr>
            <w:r>
              <w:rPr>
                <w:rFonts w:ascii="Arial" w:hAnsi="Arial"/>
                <w:color w:val="1F2937"/>
                <w:sz w:val="17"/>
              </w:rPr>
              <w:t>timestamp, occupied status or occupant count, vulnerable occupant flag, comfort priority</w:t>
            </w:r>
          </w:p>
        </w:tc>
      </w:tr>
      <w:tr>
        <w:trPr>
          <w:cantSplit/>
        </w:trPr>
        <w:tc>
          <w:tcPr>
            <w:tcW w:type="dxa" w:w="2088"/>
            <w:vAlign w:val="top"/>
          </w:tcPr>
          <w:p>
            <w:pPr>
              <w:jc w:val="left"/>
            </w:pPr>
            <w:r>
              <w:rPr>
                <w:rFonts w:ascii="Arial" w:hAnsi="Arial"/>
                <w:color w:val="1F2937"/>
                <w:sz w:val="17"/>
              </w:rPr>
              <w:t>Appliances</w:t>
            </w:r>
          </w:p>
        </w:tc>
        <w:tc>
          <w:tcPr>
            <w:tcW w:type="dxa" w:w="7488"/>
            <w:vAlign w:val="top"/>
          </w:tcPr>
          <w:p>
            <w:pPr>
              <w:jc w:val="left"/>
            </w:pPr>
            <w:r>
              <w:rPr>
                <w:rFonts w:ascii="Arial" w:hAnsi="Arial"/>
                <w:color w:val="1F2937"/>
                <w:sz w:val="17"/>
              </w:rPr>
              <w:t>appliance_id, type, quantity, rated power, cooling capacity, efficiency rating, minimum run time, supported setpoint range</w:t>
            </w:r>
          </w:p>
        </w:tc>
      </w:tr>
      <w:tr>
        <w:trPr>
          <w:cantSplit/>
        </w:trPr>
        <w:tc>
          <w:tcPr>
            <w:tcW w:type="dxa" w:w="2088"/>
            <w:shd w:fill="F9FAFB"/>
            <w:vAlign w:val="top"/>
          </w:tcPr>
          <w:p>
            <w:pPr>
              <w:jc w:val="left"/>
            </w:pPr>
            <w:r>
              <w:rPr>
                <w:rFonts w:ascii="Arial" w:hAnsi="Arial"/>
                <w:color w:val="1F2937"/>
                <w:sz w:val="17"/>
              </w:rPr>
              <w:t>Tariff/grid</w:t>
            </w:r>
          </w:p>
        </w:tc>
        <w:tc>
          <w:tcPr>
            <w:tcW w:type="dxa" w:w="7488"/>
            <w:shd w:fill="F9FAFB"/>
            <w:vAlign w:val="top"/>
          </w:tcPr>
          <w:p>
            <w:pPr>
              <w:jc w:val="left"/>
            </w:pPr>
            <w:r>
              <w:rPr>
                <w:rFonts w:ascii="Arial" w:hAnsi="Arial"/>
                <w:color w:val="1F2937"/>
                <w:sz w:val="17"/>
              </w:rPr>
              <w:t>tariff type, price per kWh, peak flag, grid availability, grid carbon factor</w:t>
            </w:r>
          </w:p>
        </w:tc>
      </w:tr>
      <w:tr>
        <w:trPr>
          <w:cantSplit/>
        </w:trPr>
        <w:tc>
          <w:tcPr>
            <w:tcW w:type="dxa" w:w="2088"/>
            <w:vAlign w:val="top"/>
          </w:tcPr>
          <w:p>
            <w:pPr>
              <w:jc w:val="left"/>
            </w:pPr>
            <w:r>
              <w:rPr>
                <w:rFonts w:ascii="Arial" w:hAnsi="Arial"/>
                <w:color w:val="1F2937"/>
                <w:sz w:val="17"/>
              </w:rPr>
              <w:t>Solar</w:t>
            </w:r>
          </w:p>
        </w:tc>
        <w:tc>
          <w:tcPr>
            <w:tcW w:type="dxa" w:w="7488"/>
            <w:vAlign w:val="top"/>
          </w:tcPr>
          <w:p>
            <w:pPr>
              <w:jc w:val="left"/>
            </w:pPr>
            <w:r>
              <w:rPr>
                <w:rFonts w:ascii="Arial" w:hAnsi="Arial"/>
                <w:color w:val="1F2937"/>
                <w:sz w:val="17"/>
              </w:rPr>
              <w:t>installed capacity, interval generation or irradiance, conversion efficiency, availability</w:t>
            </w:r>
          </w:p>
        </w:tc>
      </w:tr>
      <w:tr>
        <w:trPr>
          <w:cantSplit/>
        </w:trPr>
        <w:tc>
          <w:tcPr>
            <w:tcW w:type="dxa" w:w="2088"/>
            <w:shd w:fill="F9FAFB"/>
            <w:vAlign w:val="top"/>
          </w:tcPr>
          <w:p>
            <w:pPr>
              <w:jc w:val="left"/>
            </w:pPr>
            <w:r>
              <w:rPr>
                <w:rFonts w:ascii="Arial" w:hAnsi="Arial"/>
                <w:color w:val="1F2937"/>
                <w:sz w:val="17"/>
              </w:rPr>
              <w:t>Battery</w:t>
            </w:r>
          </w:p>
        </w:tc>
        <w:tc>
          <w:tcPr>
            <w:tcW w:type="dxa" w:w="7488"/>
            <w:shd w:fill="F9FAFB"/>
            <w:vAlign w:val="top"/>
          </w:tcPr>
          <w:p>
            <w:pPr>
              <w:jc w:val="left"/>
            </w:pPr>
            <w:r>
              <w:rPr>
                <w:rFonts w:ascii="Arial" w:hAnsi="Arial"/>
                <w:color w:val="1F2937"/>
                <w:sz w:val="17"/>
              </w:rPr>
              <w:t>capacity, initial state of charge, maximum charge/discharge rate, round-trip or directional efficiency, reserve level</w:t>
            </w:r>
          </w:p>
        </w:tc>
      </w:tr>
      <w:tr>
        <w:trPr>
          <w:cantSplit/>
        </w:trPr>
        <w:tc>
          <w:tcPr>
            <w:tcW w:type="dxa" w:w="2088"/>
            <w:vAlign w:val="top"/>
          </w:tcPr>
          <w:p>
            <w:pPr>
              <w:jc w:val="left"/>
            </w:pPr>
            <w:r>
              <w:rPr>
                <w:rFonts w:ascii="Arial" w:hAnsi="Arial"/>
                <w:color w:val="1F2937"/>
                <w:sz w:val="17"/>
              </w:rPr>
              <w:t>Baseline schedule</w:t>
            </w:r>
          </w:p>
        </w:tc>
        <w:tc>
          <w:tcPr>
            <w:tcW w:type="dxa" w:w="7488"/>
            <w:vAlign w:val="top"/>
          </w:tcPr>
          <w:p>
            <w:pPr>
              <w:jc w:val="left"/>
            </w:pPr>
            <w:r>
              <w:rPr>
                <w:rFonts w:ascii="Arial" w:hAnsi="Arial"/>
                <w:color w:val="1F2937"/>
                <w:sz w:val="17"/>
              </w:rPr>
              <w:t>interval appliance operation and setpoint or a deterministic rule to construct the baseline</w:t>
            </w:r>
          </w:p>
        </w:tc>
      </w:tr>
      <w:tr>
        <w:trPr>
          <w:cantSplit/>
        </w:trPr>
        <w:tc>
          <w:tcPr>
            <w:tcW w:type="dxa" w:w="2088"/>
            <w:shd w:fill="F9FAFB"/>
            <w:vAlign w:val="top"/>
          </w:tcPr>
          <w:p>
            <w:pPr>
              <w:jc w:val="left"/>
            </w:pPr>
            <w:r>
              <w:rPr>
                <w:rFonts w:ascii="Arial" w:hAnsi="Arial"/>
                <w:color w:val="1F2937"/>
                <w:sz w:val="17"/>
              </w:rPr>
              <w:t>User constraints</w:t>
            </w:r>
          </w:p>
        </w:tc>
        <w:tc>
          <w:tcPr>
            <w:tcW w:type="dxa" w:w="7488"/>
            <w:shd w:fill="F9FAFB"/>
            <w:vAlign w:val="top"/>
          </w:tcPr>
          <w:p>
            <w:pPr>
              <w:jc w:val="left"/>
            </w:pPr>
            <w:r>
              <w:rPr>
                <w:rFonts w:ascii="Arial" w:hAnsi="Arial"/>
                <w:color w:val="1F2937"/>
                <w:sz w:val="17"/>
              </w:rPr>
              <w:t>comfort range, budget, maximum demand, priority weights and selected evaluation window</w:t>
            </w:r>
          </w:p>
        </w:tc>
      </w:tr>
    </w:tbl>
    <w:p>
      <w:pPr>
        <w:spacing w:after="0"/>
      </w:pPr>
    </w:p>
    <w:p>
      <w:pPr>
        <w:pStyle w:val="Heading1"/>
      </w:pPr>
      <w:r>
        <w:t>5. Data Types, Units and Validation</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trPr>
        <w:tc>
          <w:tcPr>
            <w:tcW w:type="dxa" w:w="2880"/>
            <w:shd w:fill="166534"/>
            <w:vAlign w:val="center"/>
          </w:tcPr>
          <w:p>
            <w:pPr>
              <w:jc w:val="center"/>
            </w:pPr>
            <w:r>
              <w:rPr>
                <w:rFonts w:ascii="Arial" w:hAnsi="Arial"/>
                <w:b/>
                <w:color w:val="FFFFFF"/>
                <w:sz w:val="16"/>
              </w:rPr>
              <w:t>Field</w:t>
            </w:r>
          </w:p>
        </w:tc>
        <w:tc>
          <w:tcPr>
            <w:tcW w:type="dxa" w:w="2232"/>
            <w:shd w:fill="166534"/>
            <w:vAlign w:val="center"/>
          </w:tcPr>
          <w:p>
            <w:pPr>
              <w:jc w:val="center"/>
            </w:pPr>
            <w:r>
              <w:rPr>
                <w:rFonts w:ascii="Arial" w:hAnsi="Arial"/>
                <w:b/>
                <w:color w:val="FFFFFF"/>
                <w:sz w:val="16"/>
              </w:rPr>
              <w:t>Type / unit</w:t>
            </w:r>
          </w:p>
        </w:tc>
        <w:tc>
          <w:tcPr>
            <w:tcW w:type="dxa" w:w="4464"/>
            <w:shd w:fill="166534"/>
            <w:vAlign w:val="center"/>
          </w:tcPr>
          <w:p>
            <w:pPr>
              <w:jc w:val="center"/>
            </w:pPr>
            <w:r>
              <w:rPr>
                <w:rFonts w:ascii="Arial" w:hAnsi="Arial"/>
                <w:b/>
                <w:color w:val="FFFFFF"/>
                <w:sz w:val="16"/>
              </w:rPr>
              <w:t>Validation rule</w:t>
            </w:r>
          </w:p>
        </w:tc>
      </w:tr>
      <w:tr>
        <w:trPr>
          <w:cantSplit/>
        </w:trPr>
        <w:tc>
          <w:tcPr>
            <w:tcW w:type="dxa" w:w="2880"/>
            <w:vAlign w:val="top"/>
          </w:tcPr>
          <w:p>
            <w:pPr>
              <w:jc w:val="left"/>
            </w:pPr>
            <w:r>
              <w:rPr>
                <w:rFonts w:ascii="Arial" w:hAnsi="Arial"/>
                <w:color w:val="1F2937"/>
                <w:sz w:val="16"/>
              </w:rPr>
              <w:t>timestamp_local</w:t>
            </w:r>
          </w:p>
        </w:tc>
        <w:tc>
          <w:tcPr>
            <w:tcW w:type="dxa" w:w="2232"/>
            <w:vAlign w:val="top"/>
          </w:tcPr>
          <w:p>
            <w:pPr>
              <w:jc w:val="left"/>
            </w:pPr>
            <w:r>
              <w:rPr>
                <w:rFonts w:ascii="Arial" w:hAnsi="Arial"/>
                <w:color w:val="1F2937"/>
                <w:sz w:val="16"/>
              </w:rPr>
              <w:t>ISO 8601 datetime</w:t>
            </w:r>
          </w:p>
        </w:tc>
        <w:tc>
          <w:tcPr>
            <w:tcW w:type="dxa" w:w="4464"/>
            <w:vAlign w:val="top"/>
          </w:tcPr>
          <w:p>
            <w:pPr>
              <w:jc w:val="left"/>
            </w:pPr>
            <w:r>
              <w:rPr>
                <w:rFonts w:ascii="Arial" w:hAnsi="Arial"/>
                <w:color w:val="1F2937"/>
                <w:sz w:val="16"/>
              </w:rPr>
              <w:t>Unique within scenario; sorted; exact 15-minute sequence; no silent duplicates.</w:t>
            </w:r>
          </w:p>
        </w:tc>
      </w:tr>
      <w:tr>
        <w:trPr>
          <w:cantSplit/>
        </w:trPr>
        <w:tc>
          <w:tcPr>
            <w:tcW w:type="dxa" w:w="2880"/>
            <w:shd w:fill="F9FAFB"/>
            <w:vAlign w:val="top"/>
          </w:tcPr>
          <w:p>
            <w:pPr>
              <w:jc w:val="left"/>
            </w:pPr>
            <w:r>
              <w:rPr>
                <w:rFonts w:ascii="Arial" w:hAnsi="Arial"/>
                <w:color w:val="1F2937"/>
                <w:sz w:val="16"/>
              </w:rPr>
              <w:t>interval_minutes</w:t>
            </w:r>
          </w:p>
        </w:tc>
        <w:tc>
          <w:tcPr>
            <w:tcW w:type="dxa" w:w="2232"/>
            <w:shd w:fill="F9FAFB"/>
            <w:vAlign w:val="top"/>
          </w:tcPr>
          <w:p>
            <w:pPr>
              <w:jc w:val="left"/>
            </w:pPr>
            <w:r>
              <w:rPr>
                <w:rFonts w:ascii="Arial" w:hAnsi="Arial"/>
                <w:color w:val="1F2937"/>
                <w:sz w:val="16"/>
              </w:rPr>
              <w:t>Integer minutes</w:t>
            </w:r>
          </w:p>
        </w:tc>
        <w:tc>
          <w:tcPr>
            <w:tcW w:type="dxa" w:w="4464"/>
            <w:shd w:fill="F9FAFB"/>
            <w:vAlign w:val="top"/>
          </w:tcPr>
          <w:p>
            <w:pPr>
              <w:jc w:val="left"/>
            </w:pPr>
            <w:r>
              <w:rPr>
                <w:rFonts w:ascii="Arial" w:hAnsi="Arial"/>
                <w:color w:val="1F2937"/>
                <w:sz w:val="16"/>
              </w:rPr>
              <w:t>Must equal 15 for mandatory evaluation.</w:t>
            </w:r>
          </w:p>
        </w:tc>
      </w:tr>
      <w:tr>
        <w:trPr>
          <w:cantSplit/>
        </w:trPr>
        <w:tc>
          <w:tcPr>
            <w:tcW w:type="dxa" w:w="2880"/>
            <w:vAlign w:val="top"/>
          </w:tcPr>
          <w:p>
            <w:pPr>
              <w:jc w:val="left"/>
            </w:pPr>
            <w:r>
              <w:rPr>
                <w:rFonts w:ascii="Arial" w:hAnsi="Arial"/>
                <w:color w:val="1F2937"/>
                <w:sz w:val="16"/>
              </w:rPr>
              <w:t>temperature_c</w:t>
            </w:r>
          </w:p>
        </w:tc>
        <w:tc>
          <w:tcPr>
            <w:tcW w:type="dxa" w:w="2232"/>
            <w:vAlign w:val="top"/>
          </w:tcPr>
          <w:p>
            <w:pPr>
              <w:jc w:val="left"/>
            </w:pPr>
            <w:r>
              <w:rPr>
                <w:rFonts w:ascii="Arial" w:hAnsi="Arial"/>
                <w:color w:val="1F2937"/>
                <w:sz w:val="16"/>
              </w:rPr>
              <w:t>Decimal °C</w:t>
            </w:r>
          </w:p>
        </w:tc>
        <w:tc>
          <w:tcPr>
            <w:tcW w:type="dxa" w:w="4464"/>
            <w:vAlign w:val="top"/>
          </w:tcPr>
          <w:p>
            <w:pPr>
              <w:jc w:val="left"/>
            </w:pPr>
            <w:r>
              <w:rPr>
                <w:rFonts w:ascii="Arial" w:hAnsi="Arial"/>
                <w:color w:val="1F2937"/>
                <w:sz w:val="16"/>
              </w:rPr>
              <w:t>Recommended validation range −20 to 60; outliers must be flagged.</w:t>
            </w:r>
          </w:p>
        </w:tc>
      </w:tr>
      <w:tr>
        <w:trPr>
          <w:cantSplit/>
        </w:trPr>
        <w:tc>
          <w:tcPr>
            <w:tcW w:type="dxa" w:w="2880"/>
            <w:shd w:fill="F9FAFB"/>
            <w:vAlign w:val="top"/>
          </w:tcPr>
          <w:p>
            <w:pPr>
              <w:jc w:val="left"/>
            </w:pPr>
            <w:r>
              <w:rPr>
                <w:rFonts w:ascii="Arial" w:hAnsi="Arial"/>
                <w:color w:val="1F2937"/>
                <w:sz w:val="16"/>
              </w:rPr>
              <w:t>relative_humidity_pct</w:t>
            </w:r>
          </w:p>
        </w:tc>
        <w:tc>
          <w:tcPr>
            <w:tcW w:type="dxa" w:w="2232"/>
            <w:shd w:fill="F9FAFB"/>
            <w:vAlign w:val="top"/>
          </w:tcPr>
          <w:p>
            <w:pPr>
              <w:jc w:val="left"/>
            </w:pPr>
            <w:r>
              <w:rPr>
                <w:rFonts w:ascii="Arial" w:hAnsi="Arial"/>
                <w:color w:val="1F2937"/>
                <w:sz w:val="16"/>
              </w:rPr>
              <w:t>Decimal %</w:t>
            </w:r>
          </w:p>
        </w:tc>
        <w:tc>
          <w:tcPr>
            <w:tcW w:type="dxa" w:w="4464"/>
            <w:shd w:fill="F9FAFB"/>
            <w:vAlign w:val="top"/>
          </w:tcPr>
          <w:p>
            <w:pPr>
              <w:jc w:val="left"/>
            </w:pPr>
            <w:r>
              <w:rPr>
                <w:rFonts w:ascii="Arial" w:hAnsi="Arial"/>
                <w:color w:val="1F2937"/>
                <w:sz w:val="16"/>
              </w:rPr>
              <w:t>0–100.</w:t>
            </w:r>
          </w:p>
        </w:tc>
      </w:tr>
      <w:tr>
        <w:trPr>
          <w:cantSplit/>
        </w:trPr>
        <w:tc>
          <w:tcPr>
            <w:tcW w:type="dxa" w:w="2880"/>
            <w:vAlign w:val="top"/>
          </w:tcPr>
          <w:p>
            <w:pPr>
              <w:jc w:val="left"/>
            </w:pPr>
            <w:r>
              <w:rPr>
                <w:rFonts w:ascii="Arial" w:hAnsi="Arial"/>
                <w:color w:val="1F2937"/>
                <w:sz w:val="16"/>
              </w:rPr>
              <w:t>heat_index_c</w:t>
            </w:r>
          </w:p>
        </w:tc>
        <w:tc>
          <w:tcPr>
            <w:tcW w:type="dxa" w:w="2232"/>
            <w:vAlign w:val="top"/>
          </w:tcPr>
          <w:p>
            <w:pPr>
              <w:jc w:val="left"/>
            </w:pPr>
            <w:r>
              <w:rPr>
                <w:rFonts w:ascii="Arial" w:hAnsi="Arial"/>
                <w:color w:val="1F2937"/>
                <w:sz w:val="16"/>
              </w:rPr>
              <w:t>Decimal °C</w:t>
            </w:r>
          </w:p>
        </w:tc>
        <w:tc>
          <w:tcPr>
            <w:tcW w:type="dxa" w:w="4464"/>
            <w:vAlign w:val="top"/>
          </w:tcPr>
          <w:p>
            <w:pPr>
              <w:jc w:val="left"/>
            </w:pPr>
            <w:r>
              <w:rPr>
                <w:rFonts w:ascii="Arial" w:hAnsi="Arial"/>
                <w:color w:val="1F2937"/>
                <w:sz w:val="16"/>
              </w:rPr>
              <w:t>Calculated or supplied; calculation method disclosed.</w:t>
            </w:r>
          </w:p>
        </w:tc>
      </w:tr>
      <w:tr>
        <w:trPr>
          <w:cantSplit/>
        </w:trPr>
        <w:tc>
          <w:tcPr>
            <w:tcW w:type="dxa" w:w="2880"/>
            <w:shd w:fill="F9FAFB"/>
            <w:vAlign w:val="top"/>
          </w:tcPr>
          <w:p>
            <w:pPr>
              <w:jc w:val="left"/>
            </w:pPr>
            <w:r>
              <w:rPr>
                <w:rFonts w:ascii="Arial" w:hAnsi="Arial"/>
                <w:color w:val="1F2937"/>
                <w:sz w:val="16"/>
              </w:rPr>
              <w:t>solar_irradiance_w_m2</w:t>
            </w:r>
          </w:p>
        </w:tc>
        <w:tc>
          <w:tcPr>
            <w:tcW w:type="dxa" w:w="2232"/>
            <w:shd w:fill="F9FAFB"/>
            <w:vAlign w:val="top"/>
          </w:tcPr>
          <w:p>
            <w:pPr>
              <w:jc w:val="left"/>
            </w:pPr>
            <w:r>
              <w:rPr>
                <w:rFonts w:ascii="Arial" w:hAnsi="Arial"/>
                <w:color w:val="1F2937"/>
                <w:sz w:val="16"/>
              </w:rPr>
              <w:t>Decimal W/m²</w:t>
            </w:r>
          </w:p>
        </w:tc>
        <w:tc>
          <w:tcPr>
            <w:tcW w:type="dxa" w:w="4464"/>
            <w:shd w:fill="F9FAFB"/>
            <w:vAlign w:val="top"/>
          </w:tcPr>
          <w:p>
            <w:pPr>
              <w:jc w:val="left"/>
            </w:pPr>
            <w:r>
              <w:rPr>
                <w:rFonts w:ascii="Arial" w:hAnsi="Arial"/>
                <w:color w:val="1F2937"/>
                <w:sz w:val="16"/>
              </w:rPr>
              <w:t>Non-negative; normally zero at night.</w:t>
            </w:r>
          </w:p>
        </w:tc>
      </w:tr>
      <w:tr>
        <w:trPr>
          <w:cantSplit/>
        </w:trPr>
        <w:tc>
          <w:tcPr>
            <w:tcW w:type="dxa" w:w="2880"/>
            <w:vAlign w:val="top"/>
          </w:tcPr>
          <w:p>
            <w:pPr>
              <w:jc w:val="left"/>
            </w:pPr>
            <w:r>
              <w:rPr>
                <w:rFonts w:ascii="Arial" w:hAnsi="Arial"/>
                <w:color w:val="1F2937"/>
                <w:sz w:val="16"/>
              </w:rPr>
              <w:t>occupancy_count</w:t>
            </w:r>
          </w:p>
        </w:tc>
        <w:tc>
          <w:tcPr>
            <w:tcW w:type="dxa" w:w="2232"/>
            <w:vAlign w:val="top"/>
          </w:tcPr>
          <w:p>
            <w:pPr>
              <w:jc w:val="left"/>
            </w:pPr>
            <w:r>
              <w:rPr>
                <w:rFonts w:ascii="Arial" w:hAnsi="Arial"/>
                <w:color w:val="1F2937"/>
                <w:sz w:val="16"/>
              </w:rPr>
              <w:t>Integer persons</w:t>
            </w:r>
          </w:p>
        </w:tc>
        <w:tc>
          <w:tcPr>
            <w:tcW w:type="dxa" w:w="4464"/>
            <w:vAlign w:val="top"/>
          </w:tcPr>
          <w:p>
            <w:pPr>
              <w:jc w:val="left"/>
            </w:pPr>
            <w:r>
              <w:rPr>
                <w:rFonts w:ascii="Arial" w:hAnsi="Arial"/>
                <w:color w:val="1F2937"/>
                <w:sz w:val="16"/>
              </w:rPr>
              <w:t>Non-negative and consistent with building capacity.</w:t>
            </w:r>
          </w:p>
        </w:tc>
      </w:tr>
      <w:tr>
        <w:trPr>
          <w:cantSplit/>
        </w:trPr>
        <w:tc>
          <w:tcPr>
            <w:tcW w:type="dxa" w:w="2880"/>
            <w:shd w:fill="F9FAFB"/>
            <w:vAlign w:val="top"/>
          </w:tcPr>
          <w:p>
            <w:pPr>
              <w:jc w:val="left"/>
            </w:pPr>
            <w:r>
              <w:rPr>
                <w:rFonts w:ascii="Arial" w:hAnsi="Arial"/>
                <w:color w:val="1F2937"/>
                <w:sz w:val="16"/>
              </w:rPr>
              <w:t>grid_available</w:t>
            </w:r>
          </w:p>
        </w:tc>
        <w:tc>
          <w:tcPr>
            <w:tcW w:type="dxa" w:w="2232"/>
            <w:shd w:fill="F9FAFB"/>
            <w:vAlign w:val="top"/>
          </w:tcPr>
          <w:p>
            <w:pPr>
              <w:jc w:val="left"/>
            </w:pPr>
            <w:r>
              <w:rPr>
                <w:rFonts w:ascii="Arial" w:hAnsi="Arial"/>
                <w:color w:val="1F2937"/>
                <w:sz w:val="16"/>
              </w:rPr>
              <w:t>Boolean / 0 or 1</w:t>
            </w:r>
          </w:p>
        </w:tc>
        <w:tc>
          <w:tcPr>
            <w:tcW w:type="dxa" w:w="4464"/>
            <w:shd w:fill="F9FAFB"/>
            <w:vAlign w:val="top"/>
          </w:tcPr>
          <w:p>
            <w:pPr>
              <w:jc w:val="left"/>
            </w:pPr>
            <w:r>
              <w:rPr>
                <w:rFonts w:ascii="Arial" w:hAnsi="Arial"/>
                <w:color w:val="1F2937"/>
                <w:sz w:val="16"/>
              </w:rPr>
              <w:t>No grid draw permitted when false/0.</w:t>
            </w:r>
          </w:p>
        </w:tc>
      </w:tr>
      <w:tr>
        <w:trPr>
          <w:cantSplit/>
        </w:trPr>
        <w:tc>
          <w:tcPr>
            <w:tcW w:type="dxa" w:w="2880"/>
            <w:vAlign w:val="top"/>
          </w:tcPr>
          <w:p>
            <w:pPr>
              <w:jc w:val="left"/>
            </w:pPr>
            <w:r>
              <w:rPr>
                <w:rFonts w:ascii="Arial" w:hAnsi="Arial"/>
                <w:color w:val="1F2937"/>
                <w:sz w:val="16"/>
              </w:rPr>
              <w:t>tariff_pkr_per_kwh</w:t>
            </w:r>
          </w:p>
        </w:tc>
        <w:tc>
          <w:tcPr>
            <w:tcW w:type="dxa" w:w="2232"/>
            <w:vAlign w:val="top"/>
          </w:tcPr>
          <w:p>
            <w:pPr>
              <w:jc w:val="left"/>
            </w:pPr>
            <w:r>
              <w:rPr>
                <w:rFonts w:ascii="Arial" w:hAnsi="Arial"/>
                <w:color w:val="1F2937"/>
                <w:sz w:val="16"/>
              </w:rPr>
              <w:t>Decimal PKR/kWh</w:t>
            </w:r>
          </w:p>
        </w:tc>
        <w:tc>
          <w:tcPr>
            <w:tcW w:type="dxa" w:w="4464"/>
            <w:vAlign w:val="top"/>
          </w:tcPr>
          <w:p>
            <w:pPr>
              <w:jc w:val="left"/>
            </w:pPr>
            <w:r>
              <w:rPr>
                <w:rFonts w:ascii="Arial" w:hAnsi="Arial"/>
                <w:color w:val="1F2937"/>
                <w:sz w:val="16"/>
              </w:rPr>
              <w:t>Non-negative; tariff source/assumption documented.</w:t>
            </w:r>
          </w:p>
        </w:tc>
      </w:tr>
      <w:tr>
        <w:trPr>
          <w:cantSplit/>
        </w:trPr>
        <w:tc>
          <w:tcPr>
            <w:tcW w:type="dxa" w:w="2880"/>
            <w:shd w:fill="F9FAFB"/>
            <w:vAlign w:val="top"/>
          </w:tcPr>
          <w:p>
            <w:pPr>
              <w:jc w:val="left"/>
            </w:pPr>
            <w:r>
              <w:rPr>
                <w:rFonts w:ascii="Arial" w:hAnsi="Arial"/>
                <w:color w:val="1F2937"/>
                <w:sz w:val="16"/>
              </w:rPr>
              <w:t>grid_carbon_kgco2_per_kwh</w:t>
            </w:r>
          </w:p>
        </w:tc>
        <w:tc>
          <w:tcPr>
            <w:tcW w:type="dxa" w:w="2232"/>
            <w:shd w:fill="F9FAFB"/>
            <w:vAlign w:val="top"/>
          </w:tcPr>
          <w:p>
            <w:pPr>
              <w:jc w:val="left"/>
            </w:pPr>
            <w:r>
              <w:rPr>
                <w:rFonts w:ascii="Arial" w:hAnsi="Arial"/>
                <w:color w:val="1F2937"/>
                <w:sz w:val="16"/>
              </w:rPr>
              <w:t>Decimal kgCO₂e/kWh</w:t>
            </w:r>
          </w:p>
        </w:tc>
        <w:tc>
          <w:tcPr>
            <w:tcW w:type="dxa" w:w="4464"/>
            <w:shd w:fill="F9FAFB"/>
            <w:vAlign w:val="top"/>
          </w:tcPr>
          <w:p>
            <w:pPr>
              <w:jc w:val="left"/>
            </w:pPr>
            <w:r>
              <w:rPr>
                <w:rFonts w:ascii="Arial" w:hAnsi="Arial"/>
                <w:color w:val="1F2937"/>
                <w:sz w:val="16"/>
              </w:rPr>
              <w:t>Non-negative; factor and source/assumption documented.</w:t>
            </w:r>
          </w:p>
        </w:tc>
      </w:tr>
      <w:tr>
        <w:trPr>
          <w:cantSplit/>
        </w:trPr>
        <w:tc>
          <w:tcPr>
            <w:tcW w:type="dxa" w:w="2880"/>
            <w:vAlign w:val="top"/>
          </w:tcPr>
          <w:p>
            <w:pPr>
              <w:jc w:val="left"/>
            </w:pPr>
            <w:r>
              <w:rPr>
                <w:rFonts w:ascii="Arial" w:hAnsi="Arial"/>
                <w:color w:val="1F2937"/>
                <w:sz w:val="16"/>
              </w:rPr>
              <w:t>rated_power_kw</w:t>
            </w:r>
          </w:p>
        </w:tc>
        <w:tc>
          <w:tcPr>
            <w:tcW w:type="dxa" w:w="2232"/>
            <w:vAlign w:val="top"/>
          </w:tcPr>
          <w:p>
            <w:pPr>
              <w:jc w:val="left"/>
            </w:pPr>
            <w:r>
              <w:rPr>
                <w:rFonts w:ascii="Arial" w:hAnsi="Arial"/>
                <w:color w:val="1F2937"/>
                <w:sz w:val="16"/>
              </w:rPr>
              <w:t>Decimal kW</w:t>
            </w:r>
          </w:p>
        </w:tc>
        <w:tc>
          <w:tcPr>
            <w:tcW w:type="dxa" w:w="4464"/>
            <w:vAlign w:val="top"/>
          </w:tcPr>
          <w:p>
            <w:pPr>
              <w:jc w:val="left"/>
            </w:pPr>
            <w:r>
              <w:rPr>
                <w:rFonts w:ascii="Arial" w:hAnsi="Arial"/>
                <w:color w:val="1F2937"/>
                <w:sz w:val="16"/>
              </w:rPr>
              <w:t>Positive for active appliances.</w:t>
            </w:r>
          </w:p>
        </w:tc>
      </w:tr>
      <w:tr>
        <w:trPr>
          <w:cantSplit/>
        </w:trPr>
        <w:tc>
          <w:tcPr>
            <w:tcW w:type="dxa" w:w="2880"/>
            <w:shd w:fill="F9FAFB"/>
            <w:vAlign w:val="top"/>
          </w:tcPr>
          <w:p>
            <w:pPr>
              <w:jc w:val="left"/>
            </w:pPr>
            <w:r>
              <w:rPr>
                <w:rFonts w:ascii="Arial" w:hAnsi="Arial"/>
                <w:color w:val="1F2937"/>
                <w:sz w:val="16"/>
              </w:rPr>
              <w:t>battery_soc_kwh</w:t>
            </w:r>
          </w:p>
        </w:tc>
        <w:tc>
          <w:tcPr>
            <w:tcW w:type="dxa" w:w="2232"/>
            <w:shd w:fill="F9FAFB"/>
            <w:vAlign w:val="top"/>
          </w:tcPr>
          <w:p>
            <w:pPr>
              <w:jc w:val="left"/>
            </w:pPr>
            <w:r>
              <w:rPr>
                <w:rFonts w:ascii="Arial" w:hAnsi="Arial"/>
                <w:color w:val="1F2937"/>
                <w:sz w:val="16"/>
              </w:rPr>
              <w:t>Decimal kWh</w:t>
            </w:r>
          </w:p>
        </w:tc>
        <w:tc>
          <w:tcPr>
            <w:tcW w:type="dxa" w:w="4464"/>
            <w:shd w:fill="F9FAFB"/>
            <w:vAlign w:val="top"/>
          </w:tcPr>
          <w:p>
            <w:pPr>
              <w:jc w:val="left"/>
            </w:pPr>
            <w:r>
              <w:rPr>
                <w:rFonts w:ascii="Arial" w:hAnsi="Arial"/>
                <w:color w:val="1F2937"/>
                <w:sz w:val="16"/>
              </w:rPr>
              <w:t>Must remain between 0 and capacity.</w:t>
            </w:r>
          </w:p>
        </w:tc>
      </w:tr>
      <w:tr>
        <w:trPr>
          <w:cantSplit/>
        </w:trPr>
        <w:tc>
          <w:tcPr>
            <w:tcW w:type="dxa" w:w="2880"/>
            <w:vAlign w:val="top"/>
          </w:tcPr>
          <w:p>
            <w:pPr>
              <w:jc w:val="left"/>
            </w:pPr>
            <w:r>
              <w:rPr>
                <w:rFonts w:ascii="Arial" w:hAnsi="Arial"/>
                <w:color w:val="1F2937"/>
                <w:sz w:val="16"/>
              </w:rPr>
              <w:t>setpoint_c</w:t>
            </w:r>
          </w:p>
        </w:tc>
        <w:tc>
          <w:tcPr>
            <w:tcW w:type="dxa" w:w="2232"/>
            <w:vAlign w:val="top"/>
          </w:tcPr>
          <w:p>
            <w:pPr>
              <w:jc w:val="left"/>
            </w:pPr>
            <w:r>
              <w:rPr>
                <w:rFonts w:ascii="Arial" w:hAnsi="Arial"/>
                <w:color w:val="1F2937"/>
                <w:sz w:val="16"/>
              </w:rPr>
              <w:t>Decimal °C</w:t>
            </w:r>
          </w:p>
        </w:tc>
        <w:tc>
          <w:tcPr>
            <w:tcW w:type="dxa" w:w="4464"/>
            <w:vAlign w:val="top"/>
          </w:tcPr>
          <w:p>
            <w:pPr>
              <w:jc w:val="left"/>
            </w:pPr>
            <w:r>
              <w:rPr>
                <w:rFonts w:ascii="Arial" w:hAnsi="Arial"/>
                <w:color w:val="1F2937"/>
                <w:sz w:val="16"/>
              </w:rPr>
              <w:t>Must remain within appliance and challenge limits.</w:t>
            </w:r>
          </w:p>
        </w:tc>
      </w:tr>
    </w:tbl>
    <w:p>
      <w:pPr>
        <w:spacing w:after="0"/>
      </w:pPr>
    </w:p>
    <w:p>
      <w:pPr>
        <w:pStyle w:val="Heading1"/>
      </w:pPr>
      <w:r>
        <w:t>6. Mandatory Input Tables</w:t>
      </w:r>
    </w:p>
    <w:p>
      <w:pPr>
        <w:pStyle w:val="Heading2"/>
      </w:pPr>
      <w:r>
        <w:t>6.1 scenario_profiles</w:t>
      </w:r>
    </w:p>
    <w:p>
      <w:r>
        <w:t>One row per scenario or building profile.</w:t>
      </w:r>
    </w:p>
    <w:p>
      <w:r>
        <w:rPr>
          <w:rFonts w:ascii="Arial" w:hAnsi="Arial"/>
          <w:b/>
          <w:color w:val="1F2937"/>
        </w:rPr>
        <w:t xml:space="preserve">Required columns: </w:t>
      </w:r>
      <w:r>
        <w:rPr>
          <w:rFonts w:ascii="Arial" w:hAnsi="Arial"/>
          <w:color w:val="4B5563"/>
        </w:rPr>
        <w:t>scenario_id, name, timezone, building_type, area_m2, room_count, max_occupancy, insulation_level, sun_exposure, comfort_min_c, comfort_max_c, vulnerable_occupants, budget_pkr_per_day, maximum_grid_demand_kw</w:t>
      </w:r>
    </w:p>
    <w:p>
      <w:pPr>
        <w:pStyle w:val="Heading2"/>
      </w:pPr>
      <w:r>
        <w:t>6.2 appliances</w:t>
      </w:r>
    </w:p>
    <w:p>
      <w:r>
        <w:t>One row per appliance group.</w:t>
      </w:r>
    </w:p>
    <w:p>
      <w:r>
        <w:rPr>
          <w:rFonts w:ascii="Arial" w:hAnsi="Arial"/>
          <w:b/>
          <w:color w:val="1F2937"/>
        </w:rPr>
        <w:t xml:space="preserve">Required columns: </w:t>
      </w:r>
      <w:r>
        <w:rPr>
          <w:rFonts w:ascii="Arial" w:hAnsi="Arial"/>
          <w:color w:val="4B5563"/>
        </w:rPr>
        <w:t>scenario_id, appliance_id, zone_id, appliance_type, quantity, rated_power_kw, cooling_capacity_kw, efficiency_label, min_runtime_minutes, min_setpoint_c, max_setpoint_c</w:t>
      </w:r>
    </w:p>
    <w:p>
      <w:pPr>
        <w:pStyle w:val="Heading2"/>
      </w:pPr>
      <w:r>
        <w:t>6.3 interval_inputs</w:t>
      </w:r>
    </w:p>
    <w:p>
      <w:r>
        <w:t>One row for every 15-minute interval.</w:t>
      </w:r>
    </w:p>
    <w:p>
      <w:r>
        <w:rPr>
          <w:rFonts w:ascii="Arial" w:hAnsi="Arial"/>
          <w:b/>
          <w:color w:val="1F2937"/>
        </w:rPr>
        <w:t xml:space="preserve">Required columns: </w:t>
      </w:r>
      <w:r>
        <w:rPr>
          <w:rFonts w:ascii="Arial" w:hAnsi="Arial"/>
          <w:color w:val="4B5563"/>
        </w:rPr>
        <w:t>scenario_id, timestamp_local, temperature_c, relative_humidity_pct, heat_index_c, solar_irradiance_w_m2, occupancy_count, grid_available, tariff_type, tariff_pkr_per_kwh, grid_carbon_kgco2_per_kwh, non_cooling_load_kw</w:t>
      </w:r>
    </w:p>
    <w:p>
      <w:pPr>
        <w:pStyle w:val="Heading2"/>
      </w:pPr>
      <w:r>
        <w:t>6.4 energy_assets</w:t>
      </w:r>
    </w:p>
    <w:p>
      <w:r>
        <w:t>One row per scenario.</w:t>
      </w:r>
    </w:p>
    <w:p>
      <w:r>
        <w:rPr>
          <w:rFonts w:ascii="Arial" w:hAnsi="Arial"/>
          <w:b/>
          <w:color w:val="1F2937"/>
        </w:rPr>
        <w:t xml:space="preserve">Required columns: </w:t>
      </w:r>
      <w:r>
        <w:rPr>
          <w:rFonts w:ascii="Arial" w:hAnsi="Arial"/>
          <w:color w:val="4B5563"/>
        </w:rPr>
        <w:t>scenario_id, solar_capacity_kw, solar_conversion_efficiency, battery_capacity_kwh, initial_soc_kwh, minimum_reserve_kwh, max_charge_kw, max_discharge_kw, charge_efficiency, discharge_efficiency</w:t>
      </w:r>
    </w:p>
    <w:p>
      <w:pPr>
        <w:pStyle w:val="Heading2"/>
      </w:pPr>
      <w:r>
        <w:t>6.5 baseline_schedule</w:t>
      </w:r>
    </w:p>
    <w:p>
      <w:r>
        <w:t>One row for every 15-minute interval, or generated by a fully documented baseline rule.</w:t>
      </w:r>
    </w:p>
    <w:p>
      <w:r>
        <w:rPr>
          <w:rFonts w:ascii="Arial" w:hAnsi="Arial"/>
          <w:b/>
          <w:color w:val="1F2937"/>
        </w:rPr>
        <w:t xml:space="preserve">Required columns: </w:t>
      </w:r>
      <w:r>
        <w:rPr>
          <w:rFonts w:ascii="Arial" w:hAnsi="Arial"/>
          <w:color w:val="4B5563"/>
        </w:rPr>
        <w:t>scenario_id, timestamp_local, baseline_ac_units_on, baseline_ac_setpoint_c, baseline_fan_units_on, baseline_other_cooling_kw</w:t>
      </w:r>
    </w:p>
    <w:p>
      <w:pPr>
        <w:pStyle w:val="Heading1"/>
      </w:pPr>
      <w:r>
        <w:t>7. Baseline Calculation Requirements</w:t>
      </w:r>
    </w:p>
    <w:p>
      <w:r>
        <w:t>The baseline represents how the user currently operates cooling appliances. It must be calculated before optimization so that savings are not measured against an undefined or artificially weak comparison.</w:t>
      </w:r>
    </w:p>
    <w:p>
      <w:pPr>
        <w:pStyle w:val="ListBullet"/>
        <w:spacing w:after="60"/>
      </w:pPr>
      <w:r>
        <w:rPr>
          <w:rFonts w:ascii="Arial" w:hAnsi="Arial"/>
          <w:color w:val="1F2937"/>
        </w:rPr>
        <w:t>Interval appliance energy = rated power × quantity operating × interval hours.</w:t>
      </w:r>
    </w:p>
    <w:p>
      <w:pPr>
        <w:pStyle w:val="ListBullet"/>
        <w:spacing w:after="60"/>
      </w:pPr>
      <w:r>
        <w:rPr>
          <w:rFonts w:ascii="Arial" w:hAnsi="Arial"/>
          <w:color w:val="1F2937"/>
        </w:rPr>
        <w:t>Grid cost = grid energy × interval tariff.</w:t>
      </w:r>
    </w:p>
    <w:p>
      <w:pPr>
        <w:pStyle w:val="ListBullet"/>
        <w:spacing w:after="60"/>
      </w:pPr>
      <w:r>
        <w:rPr>
          <w:rFonts w:ascii="Arial" w:hAnsi="Arial"/>
          <w:color w:val="1F2937"/>
        </w:rPr>
        <w:t>Grid emissions = grid energy × interval carbon factor.</w:t>
      </w:r>
    </w:p>
    <w:p>
      <w:pPr>
        <w:pStyle w:val="ListBullet"/>
        <w:spacing w:after="60"/>
      </w:pPr>
      <w:r>
        <w:rPr>
          <w:rFonts w:ascii="Arial" w:hAnsi="Arial"/>
          <w:color w:val="1F2937"/>
        </w:rPr>
        <w:t>Peak demand is the maximum interval-average grid power within the evaluation period.</w:t>
      </w:r>
    </w:p>
    <w:p>
      <w:pPr>
        <w:pStyle w:val="ListBullet"/>
        <w:spacing w:after="60"/>
      </w:pPr>
      <w:r>
        <w:rPr>
          <w:rFonts w:ascii="Arial" w:hAnsi="Arial"/>
          <w:color w:val="1F2937"/>
        </w:rPr>
        <w:t>Solar and battery flows must be modelled explicitly if the baseline uses them.</w:t>
      </w:r>
    </w:p>
    <w:p>
      <w:pPr>
        <w:pStyle w:val="ListBullet"/>
        <w:spacing w:after="60"/>
      </w:pPr>
      <w:r>
        <w:rPr>
          <w:rFonts w:ascii="Arial" w:hAnsi="Arial"/>
          <w:color w:val="1F2937"/>
        </w:rPr>
        <w:t>Comfort must be estimated for the baseline using the same model used for optimized results.</w:t>
      </w:r>
    </w:p>
    <w:p>
      <w:pPr>
        <w:pStyle w:val="ListBullet"/>
        <w:spacing w:after="60"/>
      </w:pPr>
      <w:r>
        <w:rPr>
          <w:rFonts w:ascii="Arial" w:hAnsi="Arial"/>
          <w:color w:val="1F2937"/>
        </w:rPr>
        <w:t>Teams must disclose whether standby power, non-cooling load and conversion losses are included.</w:t>
      </w:r>
    </w:p>
    <w:tbl>
      <w:tblPr>
        <w:tblW w:type="auto" w:w="0"/>
        <w:jc w:val="center"/>
        <w:tblLayout w:type="fixed"/>
        <w:tblLook w:firstColumn="1" w:firstRow="1" w:lastColumn="0" w:lastRow="0" w:noHBand="0" w:noVBand="1" w:val="04A0"/>
      </w:tblPr>
      <w:tblGrid>
        <w:gridCol w:w="9576"/>
      </w:tblGrid>
      <w:tr>
        <w:tc>
          <w:tcPr>
            <w:tcW w:type="dxa" w:w="9749"/>
            <w:shd w:fill="DCFCE7"/>
            <w:tcBorders>
              <w:top w:val="single" w:sz="8" w:color="166534"/>
              <w:left w:val="single" w:sz="8" w:color="166534"/>
              <w:bottom w:val="single" w:sz="8" w:color="166534"/>
              <w:right w:val="single" w:sz="8" w:color="166534"/>
            </w:tcBorders>
          </w:tcPr>
          <w:p>
            <w:r>
              <w:rPr>
                <w:rFonts w:ascii="Arial" w:hAnsi="Arial"/>
                <w:b/>
                <w:color w:val="14532D"/>
                <w:sz w:val="21"/>
              </w:rPr>
              <w:t>Fair Comparison Rule</w:t>
              <w:br/>
            </w:r>
            <w:r>
              <w:rPr>
                <w:rFonts w:ascii="Arial" w:hAnsi="Arial"/>
                <w:color w:val="1F2937"/>
                <w:sz w:val="19"/>
              </w:rPr>
              <w:t>The baseline and optimized schedules must use the same weather, occupancy, building, appliance, tariff and comfort inputs. Only the control decisions may change.</w:t>
            </w:r>
          </w:p>
        </w:tc>
      </w:tr>
    </w:tbl>
    <w:p>
      <w:pPr>
        <w:spacing w:after="0"/>
      </w:pPr>
    </w:p>
    <w:p>
      <w:pPr>
        <w:pStyle w:val="Heading1"/>
      </w:pPr>
      <w:r>
        <w:t>8. Optimization Objective</w:t>
      </w:r>
    </w:p>
    <w:p>
      <w:r>
        <w:t>Teams may choose any justified optimization approach. The recommended model is multi-objective: minimize cost, emissions, peak demand and discomfort while satisfying all hard constraints.</w:t>
      </w:r>
    </w:p>
    <w:tbl>
      <w:tblPr>
        <w:tblStyle w:val="TableGrid"/>
        <w:tblW w:type="auto" w:w="0"/>
        <w:jc w:val="center"/>
        <w:tblLayout w:type="fixed"/>
        <w:tblLook w:firstColumn="1" w:firstRow="1" w:lastColumn="0" w:lastRow="0" w:noHBand="0" w:noVBand="1" w:val="04A0"/>
      </w:tblPr>
      <w:tblGrid>
        <w:gridCol w:w="4874"/>
        <w:gridCol w:w="4874"/>
      </w:tblGrid>
      <w:tr>
        <w:trPr>
          <w:tblHeader w:val="true"/>
        </w:trPr>
        <w:tc>
          <w:tcPr>
            <w:tcW w:type="dxa" w:w="3024"/>
            <w:shd w:fill="166534"/>
            <w:vAlign w:val="center"/>
          </w:tcPr>
          <w:p>
            <w:pPr>
              <w:jc w:val="center"/>
            </w:pPr>
            <w:r>
              <w:rPr>
                <w:rFonts w:ascii="Arial" w:hAnsi="Arial"/>
                <w:b/>
                <w:color w:val="FFFFFF"/>
                <w:sz w:val="17"/>
              </w:rPr>
              <w:t>Objective component</w:t>
            </w:r>
          </w:p>
        </w:tc>
        <w:tc>
          <w:tcPr>
            <w:tcW w:type="dxa" w:w="6552"/>
            <w:shd w:fill="166534"/>
            <w:vAlign w:val="center"/>
          </w:tcPr>
          <w:p>
            <w:pPr>
              <w:jc w:val="center"/>
            </w:pPr>
            <w:r>
              <w:rPr>
                <w:rFonts w:ascii="Arial" w:hAnsi="Arial"/>
                <w:b/>
                <w:color w:val="FFFFFF"/>
                <w:sz w:val="17"/>
              </w:rPr>
              <w:t>Examples</w:t>
            </w:r>
          </w:p>
        </w:tc>
      </w:tr>
      <w:tr>
        <w:trPr>
          <w:cantSplit/>
        </w:trPr>
        <w:tc>
          <w:tcPr>
            <w:tcW w:type="dxa" w:w="3024"/>
            <w:vAlign w:val="top"/>
          </w:tcPr>
          <w:p>
            <w:pPr>
              <w:jc w:val="left"/>
            </w:pPr>
            <w:r>
              <w:rPr>
                <w:rFonts w:ascii="Arial" w:hAnsi="Arial"/>
                <w:color w:val="1F2937"/>
                <w:sz w:val="17"/>
              </w:rPr>
              <w:t>Electricity cost</w:t>
            </w:r>
          </w:p>
        </w:tc>
        <w:tc>
          <w:tcPr>
            <w:tcW w:type="dxa" w:w="6552"/>
            <w:vAlign w:val="top"/>
          </w:tcPr>
          <w:p>
            <w:pPr>
              <w:jc w:val="left"/>
            </w:pPr>
            <w:r>
              <w:rPr>
                <w:rFonts w:ascii="Arial" w:hAnsi="Arial"/>
                <w:color w:val="1F2937"/>
                <w:sz w:val="17"/>
              </w:rPr>
              <w:t>Total grid cost over the planning horizon</w:t>
            </w:r>
          </w:p>
        </w:tc>
      </w:tr>
      <w:tr>
        <w:trPr>
          <w:cantSplit/>
        </w:trPr>
        <w:tc>
          <w:tcPr>
            <w:tcW w:type="dxa" w:w="3024"/>
            <w:shd w:fill="F9FAFB"/>
            <w:vAlign w:val="top"/>
          </w:tcPr>
          <w:p>
            <w:pPr>
              <w:jc w:val="left"/>
            </w:pPr>
            <w:r>
              <w:rPr>
                <w:rFonts w:ascii="Arial" w:hAnsi="Arial"/>
                <w:color w:val="1F2937"/>
                <w:sz w:val="17"/>
              </w:rPr>
              <w:t>Energy consumption</w:t>
            </w:r>
          </w:p>
        </w:tc>
        <w:tc>
          <w:tcPr>
            <w:tcW w:type="dxa" w:w="6552"/>
            <w:shd w:fill="F9FAFB"/>
            <w:vAlign w:val="top"/>
          </w:tcPr>
          <w:p>
            <w:pPr>
              <w:jc w:val="left"/>
            </w:pPr>
            <w:r>
              <w:rPr>
                <w:rFonts w:ascii="Arial" w:hAnsi="Arial"/>
                <w:color w:val="1F2937"/>
                <w:sz w:val="17"/>
              </w:rPr>
              <w:t>Cooling energy and total grid energy</w:t>
            </w:r>
          </w:p>
        </w:tc>
      </w:tr>
      <w:tr>
        <w:trPr>
          <w:cantSplit/>
        </w:trPr>
        <w:tc>
          <w:tcPr>
            <w:tcW w:type="dxa" w:w="3024"/>
            <w:vAlign w:val="top"/>
          </w:tcPr>
          <w:p>
            <w:pPr>
              <w:jc w:val="left"/>
            </w:pPr>
            <w:r>
              <w:rPr>
                <w:rFonts w:ascii="Arial" w:hAnsi="Arial"/>
                <w:color w:val="1F2937"/>
                <w:sz w:val="17"/>
              </w:rPr>
              <w:t>Carbon impact</w:t>
            </w:r>
          </w:p>
        </w:tc>
        <w:tc>
          <w:tcPr>
            <w:tcW w:type="dxa" w:w="6552"/>
            <w:vAlign w:val="top"/>
          </w:tcPr>
          <w:p>
            <w:pPr>
              <w:jc w:val="left"/>
            </w:pPr>
            <w:r>
              <w:rPr>
                <w:rFonts w:ascii="Arial" w:hAnsi="Arial"/>
                <w:color w:val="1F2937"/>
                <w:sz w:val="17"/>
              </w:rPr>
              <w:t>Grid energy multiplied by carbon factor</w:t>
            </w:r>
          </w:p>
        </w:tc>
      </w:tr>
      <w:tr>
        <w:trPr>
          <w:cantSplit/>
        </w:trPr>
        <w:tc>
          <w:tcPr>
            <w:tcW w:type="dxa" w:w="3024"/>
            <w:shd w:fill="F9FAFB"/>
            <w:vAlign w:val="top"/>
          </w:tcPr>
          <w:p>
            <w:pPr>
              <w:jc w:val="left"/>
            </w:pPr>
            <w:r>
              <w:rPr>
                <w:rFonts w:ascii="Arial" w:hAnsi="Arial"/>
                <w:color w:val="1F2937"/>
                <w:sz w:val="17"/>
              </w:rPr>
              <w:t>Peak demand</w:t>
            </w:r>
          </w:p>
        </w:tc>
        <w:tc>
          <w:tcPr>
            <w:tcW w:type="dxa" w:w="6552"/>
            <w:shd w:fill="F9FAFB"/>
            <w:vAlign w:val="top"/>
          </w:tcPr>
          <w:p>
            <w:pPr>
              <w:jc w:val="left"/>
            </w:pPr>
            <w:r>
              <w:rPr>
                <w:rFonts w:ascii="Arial" w:hAnsi="Arial"/>
                <w:color w:val="1F2937"/>
                <w:sz w:val="17"/>
              </w:rPr>
              <w:t>Maximum interval grid demand or energy during peak tariff periods</w:t>
            </w:r>
          </w:p>
        </w:tc>
      </w:tr>
      <w:tr>
        <w:trPr>
          <w:cantSplit/>
        </w:trPr>
        <w:tc>
          <w:tcPr>
            <w:tcW w:type="dxa" w:w="3024"/>
            <w:vAlign w:val="top"/>
          </w:tcPr>
          <w:p>
            <w:pPr>
              <w:jc w:val="left"/>
            </w:pPr>
            <w:r>
              <w:rPr>
                <w:rFonts w:ascii="Arial" w:hAnsi="Arial"/>
                <w:color w:val="1F2937"/>
                <w:sz w:val="17"/>
              </w:rPr>
              <w:t>Comfort penalty</w:t>
            </w:r>
          </w:p>
        </w:tc>
        <w:tc>
          <w:tcPr>
            <w:tcW w:type="dxa" w:w="6552"/>
            <w:vAlign w:val="top"/>
          </w:tcPr>
          <w:p>
            <w:pPr>
              <w:jc w:val="left"/>
            </w:pPr>
            <w:r>
              <w:rPr>
                <w:rFonts w:ascii="Arial" w:hAnsi="Arial"/>
                <w:color w:val="1F2937"/>
                <w:sz w:val="17"/>
              </w:rPr>
              <w:t>Degree-minutes outside the allowed comfort range during occupied periods</w:t>
            </w:r>
          </w:p>
        </w:tc>
      </w:tr>
      <w:tr>
        <w:trPr>
          <w:cantSplit/>
        </w:trPr>
        <w:tc>
          <w:tcPr>
            <w:tcW w:type="dxa" w:w="3024"/>
            <w:shd w:fill="F9FAFB"/>
            <w:vAlign w:val="top"/>
          </w:tcPr>
          <w:p>
            <w:pPr>
              <w:jc w:val="left"/>
            </w:pPr>
            <w:r>
              <w:rPr>
                <w:rFonts w:ascii="Arial" w:hAnsi="Arial"/>
                <w:color w:val="1F2937"/>
                <w:sz w:val="17"/>
              </w:rPr>
              <w:t>Battery degradation proxy</w:t>
            </w:r>
          </w:p>
        </w:tc>
        <w:tc>
          <w:tcPr>
            <w:tcW w:type="dxa" w:w="6552"/>
            <w:shd w:fill="F9FAFB"/>
            <w:vAlign w:val="top"/>
          </w:tcPr>
          <w:p>
            <w:pPr>
              <w:jc w:val="left"/>
            </w:pPr>
            <w:r>
              <w:rPr>
                <w:rFonts w:ascii="Arial" w:hAnsi="Arial"/>
                <w:color w:val="1F2937"/>
                <w:sz w:val="17"/>
              </w:rPr>
              <w:t>Unnecessary cycling, deep discharge or excessive charge/discharge transitions</w:t>
            </w:r>
          </w:p>
        </w:tc>
      </w:tr>
    </w:tbl>
    <w:p>
      <w:pPr>
        <w:spacing w:after="0"/>
      </w:pPr>
    </w:p>
    <w:p>
      <w:r>
        <w:t>Teams must state whether objectives are combined through weights, priorities, lexicographic ordering, constraints or another method. User-adjustable weights are permitted, but the default configuration must be documented.</w:t>
      </w:r>
    </w:p>
    <w:p>
      <w:pPr>
        <w:pStyle w:val="Heading1"/>
      </w:pPr>
      <w:r>
        <w:t>9. Mandatory Hard Constraints</w:t>
      </w:r>
    </w:p>
    <w:p>
      <w:pPr>
        <w:pStyle w:val="ListBullet"/>
        <w:spacing w:after="60"/>
      </w:pPr>
      <w:r>
        <w:rPr>
          <w:rFonts w:ascii="Arial" w:hAnsi="Arial"/>
          <w:color w:val="1F2937"/>
        </w:rPr>
        <w:t>Grid draw must equal zero when grid_available is false.</w:t>
      </w:r>
    </w:p>
    <w:p>
      <w:pPr>
        <w:pStyle w:val="ListBullet"/>
        <w:spacing w:after="60"/>
      </w:pPr>
      <w:r>
        <w:rPr>
          <w:rFonts w:ascii="Arial" w:hAnsi="Arial"/>
          <w:color w:val="1F2937"/>
        </w:rPr>
        <w:t>Appliance operation cannot exceed installed quantity or power capacity.</w:t>
      </w:r>
    </w:p>
    <w:p>
      <w:pPr>
        <w:pStyle w:val="ListBullet"/>
        <w:spacing w:after="60"/>
      </w:pPr>
      <w:r>
        <w:rPr>
          <w:rFonts w:ascii="Arial" w:hAnsi="Arial"/>
          <w:color w:val="1F2937"/>
        </w:rPr>
        <w:t>Setpoints must remain within appliance limits.</w:t>
      </w:r>
    </w:p>
    <w:p>
      <w:pPr>
        <w:pStyle w:val="ListBullet"/>
        <w:spacing w:after="60"/>
      </w:pPr>
      <w:r>
        <w:rPr>
          <w:rFonts w:ascii="Arial" w:hAnsi="Arial"/>
          <w:color w:val="1F2937"/>
        </w:rPr>
        <w:t>Battery state of charge must remain between zero and battery capacity.</w:t>
      </w:r>
    </w:p>
    <w:p>
      <w:pPr>
        <w:pStyle w:val="ListBullet"/>
        <w:spacing w:after="60"/>
      </w:pPr>
      <w:r>
        <w:rPr>
          <w:rFonts w:ascii="Arial" w:hAnsi="Arial"/>
          <w:color w:val="1F2937"/>
        </w:rPr>
        <w:t>Battery state of charge must not fall below the defined reserve unless the system explicitly declares an emergency mode.</w:t>
      </w:r>
    </w:p>
    <w:p>
      <w:pPr>
        <w:pStyle w:val="ListBullet"/>
        <w:spacing w:after="60"/>
      </w:pPr>
      <w:r>
        <w:rPr>
          <w:rFonts w:ascii="Arial" w:hAnsi="Arial"/>
          <w:color w:val="1F2937"/>
        </w:rPr>
        <w:t>Charge and discharge power must respect maximum rates and efficiencies.</w:t>
      </w:r>
    </w:p>
    <w:p>
      <w:pPr>
        <w:pStyle w:val="ListBullet"/>
        <w:spacing w:after="60"/>
      </w:pPr>
      <w:r>
        <w:rPr>
          <w:rFonts w:ascii="Arial" w:hAnsi="Arial"/>
          <w:color w:val="1F2937"/>
        </w:rPr>
        <w:t>Energy balance must hold for every interval.</w:t>
      </w:r>
    </w:p>
    <w:p>
      <w:pPr>
        <w:pStyle w:val="ListBullet"/>
        <w:spacing w:after="60"/>
      </w:pPr>
      <w:r>
        <w:rPr>
          <w:rFonts w:ascii="Arial" w:hAnsi="Arial"/>
          <w:color w:val="1F2937"/>
        </w:rPr>
        <w:t>Occupied-period comfort must be prioritized according to the selected user constraints.</w:t>
      </w:r>
    </w:p>
    <w:p>
      <w:pPr>
        <w:pStyle w:val="ListBullet"/>
        <w:spacing w:after="60"/>
      </w:pPr>
      <w:r>
        <w:rPr>
          <w:rFonts w:ascii="Arial" w:hAnsi="Arial"/>
          <w:color w:val="1F2937"/>
        </w:rPr>
        <w:t>Minimum appliance run times or switching constraints must be respected when implemented.</w:t>
      </w:r>
    </w:p>
    <w:p>
      <w:pPr>
        <w:pStyle w:val="ListBullet"/>
        <w:spacing w:after="60"/>
      </w:pPr>
      <w:r>
        <w:rPr>
          <w:rFonts w:ascii="Arial" w:hAnsi="Arial"/>
          <w:color w:val="1F2937"/>
        </w:rPr>
        <w:t>Missing or invalid critical inputs must not produce silent recommendations.</w:t>
      </w:r>
    </w:p>
    <w:p>
      <w:pPr>
        <w:pStyle w:val="Heading1"/>
      </w:pPr>
      <w:r>
        <w:t>10. Comfort and Indoor Temperature Model</w:t>
      </w:r>
    </w:p>
    <w:p>
      <w:r>
        <w:t>The challenge does not prescribe one thermal model. Teams may use a rule-based estimator, a simplified resistance-capacitance model, a machine-learning model, a calibrated simulation or another approach. The model must be consistent, documented and responsive to the following factors:</w:t>
      </w:r>
    </w:p>
    <w:p>
      <w:pPr>
        <w:pStyle w:val="ListBullet"/>
        <w:spacing w:after="60"/>
      </w:pPr>
      <w:r>
        <w:rPr>
          <w:rFonts w:ascii="Arial" w:hAnsi="Arial"/>
          <w:color w:val="1F2937"/>
        </w:rPr>
        <w:t>Outdoor temperature</w:t>
      </w:r>
    </w:p>
    <w:p>
      <w:pPr>
        <w:pStyle w:val="ListBullet"/>
        <w:spacing w:after="60"/>
      </w:pPr>
      <w:r>
        <w:rPr>
          <w:rFonts w:ascii="Arial" w:hAnsi="Arial"/>
          <w:color w:val="1F2937"/>
        </w:rPr>
        <w:t>Humidity or heat index</w:t>
      </w:r>
    </w:p>
    <w:p>
      <w:pPr>
        <w:pStyle w:val="ListBullet"/>
        <w:spacing w:after="60"/>
      </w:pPr>
      <w:r>
        <w:rPr>
          <w:rFonts w:ascii="Arial" w:hAnsi="Arial"/>
          <w:color w:val="1F2937"/>
        </w:rPr>
        <w:t>Building area and insulation</w:t>
      </w:r>
    </w:p>
    <w:p>
      <w:pPr>
        <w:pStyle w:val="ListBullet"/>
        <w:spacing w:after="60"/>
      </w:pPr>
      <w:r>
        <w:rPr>
          <w:rFonts w:ascii="Arial" w:hAnsi="Arial"/>
          <w:color w:val="1F2937"/>
        </w:rPr>
        <w:t>Sun exposure</w:t>
      </w:r>
    </w:p>
    <w:p>
      <w:pPr>
        <w:pStyle w:val="ListBullet"/>
        <w:spacing w:after="60"/>
      </w:pPr>
      <w:r>
        <w:rPr>
          <w:rFonts w:ascii="Arial" w:hAnsi="Arial"/>
          <w:color w:val="1F2937"/>
        </w:rPr>
        <w:t>Occupancy</w:t>
      </w:r>
    </w:p>
    <w:p>
      <w:pPr>
        <w:pStyle w:val="ListBullet"/>
        <w:spacing w:after="60"/>
      </w:pPr>
      <w:r>
        <w:rPr>
          <w:rFonts w:ascii="Arial" w:hAnsi="Arial"/>
          <w:color w:val="1F2937"/>
        </w:rPr>
        <w:t>Cooling capacity and appliance operation</w:t>
      </w:r>
    </w:p>
    <w:p>
      <w:pPr>
        <w:pStyle w:val="ListBullet"/>
        <w:spacing w:after="60"/>
      </w:pPr>
      <w:r>
        <w:rPr>
          <w:rFonts w:ascii="Arial" w:hAnsi="Arial"/>
          <w:color w:val="1F2937"/>
        </w:rPr>
        <w:t>Previous interval indoor temperature or thermal memory</w:t>
      </w:r>
    </w:p>
    <w:tbl>
      <w:tblPr>
        <w:tblW w:type="auto" w:w="0"/>
        <w:jc w:val="center"/>
        <w:tblLayout w:type="fixed"/>
        <w:tblLook w:firstColumn="1" w:firstRow="1" w:lastColumn="0" w:lastRow="0" w:noHBand="0" w:noVBand="1" w:val="04A0"/>
      </w:tblPr>
      <w:tblGrid>
        <w:gridCol w:w="9576"/>
      </w:tblGrid>
      <w:tr>
        <w:tc>
          <w:tcPr>
            <w:tcW w:type="dxa" w:w="9749"/>
            <w:shd w:fill="DCFCE7"/>
            <w:tcBorders>
              <w:top w:val="single" w:sz="8" w:color="166534"/>
              <w:left w:val="single" w:sz="8" w:color="166534"/>
              <w:bottom w:val="single" w:sz="8" w:color="166534"/>
              <w:right w:val="single" w:sz="8" w:color="166534"/>
            </w:tcBorders>
          </w:tcPr>
          <w:p>
            <w:r>
              <w:rPr>
                <w:rFonts w:ascii="Arial" w:hAnsi="Arial"/>
                <w:b/>
                <w:color w:val="14532D"/>
                <w:sz w:val="21"/>
              </w:rPr>
              <w:t>Infeasible Conditions</w:t>
              <w:br/>
            </w:r>
            <w:r>
              <w:rPr>
                <w:rFonts w:ascii="Arial" w:hAnsi="Arial"/>
                <w:color w:val="1F2937"/>
                <w:sz w:val="19"/>
              </w:rPr>
              <w:t>If installed cooling capacity, grid availability or stored energy cannot maintain safety, the system must report the condition instead of displaying false comfort compliance.</w:t>
            </w:r>
          </w:p>
        </w:tc>
      </w:tr>
    </w:tbl>
    <w:p>
      <w:pPr>
        <w:spacing w:after="0"/>
      </w:pPr>
    </w:p>
    <w:p>
      <w:pPr>
        <w:pStyle w:val="Heading1"/>
      </w:pPr>
      <w:r>
        <w:t>11. Required Output Schema</w:t>
      </w:r>
    </w:p>
    <w:tbl>
      <w:tblPr>
        <w:tblStyle w:val="TableGrid"/>
        <w:tblW w:type="auto" w:w="0"/>
        <w:jc w:val="center"/>
        <w:tblLayout w:type="fixed"/>
        <w:tblLook w:firstColumn="1" w:firstRow="1" w:lastColumn="0" w:lastRow="0" w:noHBand="0" w:noVBand="1" w:val="04A0"/>
      </w:tblPr>
      <w:tblGrid>
        <w:gridCol w:w="4874"/>
        <w:gridCol w:w="4874"/>
      </w:tblGrid>
      <w:tr>
        <w:trPr>
          <w:tblHeader w:val="true"/>
        </w:trPr>
        <w:tc>
          <w:tcPr>
            <w:tcW w:type="dxa" w:w="3168"/>
            <w:shd w:fill="166534"/>
            <w:vAlign w:val="center"/>
          </w:tcPr>
          <w:p>
            <w:pPr>
              <w:jc w:val="center"/>
            </w:pPr>
            <w:r>
              <w:rPr>
                <w:rFonts w:ascii="Arial" w:hAnsi="Arial"/>
                <w:b/>
                <w:color w:val="FFFFFF"/>
                <w:sz w:val="16"/>
              </w:rPr>
              <w:t>Column</w:t>
            </w:r>
          </w:p>
        </w:tc>
        <w:tc>
          <w:tcPr>
            <w:tcW w:type="dxa" w:w="6408"/>
            <w:shd w:fill="166534"/>
            <w:vAlign w:val="center"/>
          </w:tcPr>
          <w:p>
            <w:pPr>
              <w:jc w:val="center"/>
            </w:pPr>
            <w:r>
              <w:rPr>
                <w:rFonts w:ascii="Arial" w:hAnsi="Arial"/>
                <w:b/>
                <w:color w:val="FFFFFF"/>
                <w:sz w:val="16"/>
              </w:rPr>
              <w:t>Requirement</w:t>
            </w:r>
          </w:p>
        </w:tc>
      </w:tr>
      <w:tr>
        <w:trPr>
          <w:cantSplit/>
        </w:trPr>
        <w:tc>
          <w:tcPr>
            <w:tcW w:type="dxa" w:w="3168"/>
            <w:vAlign w:val="top"/>
          </w:tcPr>
          <w:p>
            <w:pPr>
              <w:jc w:val="left"/>
            </w:pPr>
            <w:r>
              <w:rPr>
                <w:rFonts w:ascii="Arial" w:hAnsi="Arial"/>
                <w:color w:val="1F2937"/>
                <w:sz w:val="16"/>
              </w:rPr>
              <w:t>scenario_id</w:t>
            </w:r>
          </w:p>
        </w:tc>
        <w:tc>
          <w:tcPr>
            <w:tcW w:type="dxa" w:w="6408"/>
            <w:vAlign w:val="top"/>
          </w:tcPr>
          <w:p>
            <w:pPr>
              <w:jc w:val="left"/>
            </w:pPr>
            <w:r>
              <w:rPr>
                <w:rFonts w:ascii="Arial" w:hAnsi="Arial"/>
                <w:color w:val="1F2937"/>
                <w:sz w:val="16"/>
              </w:rPr>
              <w:t>Identifier matching the input scenario</w:t>
            </w:r>
          </w:p>
        </w:tc>
      </w:tr>
      <w:tr>
        <w:trPr>
          <w:cantSplit/>
        </w:trPr>
        <w:tc>
          <w:tcPr>
            <w:tcW w:type="dxa" w:w="3168"/>
            <w:shd w:fill="F9FAFB"/>
            <w:vAlign w:val="top"/>
          </w:tcPr>
          <w:p>
            <w:pPr>
              <w:jc w:val="left"/>
            </w:pPr>
            <w:r>
              <w:rPr>
                <w:rFonts w:ascii="Arial" w:hAnsi="Arial"/>
                <w:color w:val="1F2937"/>
                <w:sz w:val="16"/>
              </w:rPr>
              <w:t>run_id</w:t>
            </w:r>
          </w:p>
        </w:tc>
        <w:tc>
          <w:tcPr>
            <w:tcW w:type="dxa" w:w="6408"/>
            <w:shd w:fill="F9FAFB"/>
            <w:vAlign w:val="top"/>
          </w:tcPr>
          <w:p>
            <w:pPr>
              <w:jc w:val="left"/>
            </w:pPr>
            <w:r>
              <w:rPr>
                <w:rFonts w:ascii="Arial" w:hAnsi="Arial"/>
                <w:color w:val="1F2937"/>
                <w:sz w:val="16"/>
              </w:rPr>
              <w:t>Unique optimization run identifier</w:t>
            </w:r>
          </w:p>
        </w:tc>
      </w:tr>
      <w:tr>
        <w:trPr>
          <w:cantSplit/>
        </w:trPr>
        <w:tc>
          <w:tcPr>
            <w:tcW w:type="dxa" w:w="3168"/>
            <w:vAlign w:val="top"/>
          </w:tcPr>
          <w:p>
            <w:pPr>
              <w:jc w:val="left"/>
            </w:pPr>
            <w:r>
              <w:rPr>
                <w:rFonts w:ascii="Arial" w:hAnsi="Arial"/>
                <w:color w:val="1F2937"/>
                <w:sz w:val="16"/>
              </w:rPr>
              <w:t>timestamp_local</w:t>
            </w:r>
          </w:p>
        </w:tc>
        <w:tc>
          <w:tcPr>
            <w:tcW w:type="dxa" w:w="6408"/>
            <w:vAlign w:val="top"/>
          </w:tcPr>
          <w:p>
            <w:pPr>
              <w:jc w:val="left"/>
            </w:pPr>
            <w:r>
              <w:rPr>
                <w:rFonts w:ascii="Arial" w:hAnsi="Arial"/>
                <w:color w:val="1F2937"/>
                <w:sz w:val="16"/>
              </w:rPr>
              <w:t>One row per 15-minute interval</w:t>
            </w:r>
          </w:p>
        </w:tc>
      </w:tr>
      <w:tr>
        <w:trPr>
          <w:cantSplit/>
        </w:trPr>
        <w:tc>
          <w:tcPr>
            <w:tcW w:type="dxa" w:w="3168"/>
            <w:shd w:fill="F9FAFB"/>
            <w:vAlign w:val="top"/>
          </w:tcPr>
          <w:p>
            <w:pPr>
              <w:jc w:val="left"/>
            </w:pPr>
            <w:r>
              <w:rPr>
                <w:rFonts w:ascii="Arial" w:hAnsi="Arial"/>
                <w:color w:val="1F2937"/>
                <w:sz w:val="16"/>
              </w:rPr>
              <w:t>recommended_ac_units_on</w:t>
            </w:r>
          </w:p>
        </w:tc>
        <w:tc>
          <w:tcPr>
            <w:tcW w:type="dxa" w:w="6408"/>
            <w:shd w:fill="F9FAFB"/>
            <w:vAlign w:val="top"/>
          </w:tcPr>
          <w:p>
            <w:pPr>
              <w:jc w:val="left"/>
            </w:pPr>
            <w:r>
              <w:rPr>
                <w:rFonts w:ascii="Arial" w:hAnsi="Arial"/>
                <w:color w:val="1F2937"/>
                <w:sz w:val="16"/>
              </w:rPr>
              <w:t>Integer, may be zero</w:t>
            </w:r>
          </w:p>
        </w:tc>
      </w:tr>
      <w:tr>
        <w:trPr>
          <w:cantSplit/>
        </w:trPr>
        <w:tc>
          <w:tcPr>
            <w:tcW w:type="dxa" w:w="3168"/>
            <w:vAlign w:val="top"/>
          </w:tcPr>
          <w:p>
            <w:pPr>
              <w:jc w:val="left"/>
            </w:pPr>
            <w:r>
              <w:rPr>
                <w:rFonts w:ascii="Arial" w:hAnsi="Arial"/>
                <w:color w:val="1F2937"/>
                <w:sz w:val="16"/>
              </w:rPr>
              <w:t>recommended_ac_setpoint_c</w:t>
            </w:r>
          </w:p>
        </w:tc>
        <w:tc>
          <w:tcPr>
            <w:tcW w:type="dxa" w:w="6408"/>
            <w:vAlign w:val="top"/>
          </w:tcPr>
          <w:p>
            <w:pPr>
              <w:jc w:val="left"/>
            </w:pPr>
            <w:r>
              <w:rPr>
                <w:rFonts w:ascii="Arial" w:hAnsi="Arial"/>
                <w:color w:val="1F2937"/>
                <w:sz w:val="16"/>
              </w:rPr>
              <w:t>Numeric or blank when AC is off</w:t>
            </w:r>
          </w:p>
        </w:tc>
      </w:tr>
      <w:tr>
        <w:trPr>
          <w:cantSplit/>
        </w:trPr>
        <w:tc>
          <w:tcPr>
            <w:tcW w:type="dxa" w:w="3168"/>
            <w:shd w:fill="F9FAFB"/>
            <w:vAlign w:val="top"/>
          </w:tcPr>
          <w:p>
            <w:pPr>
              <w:jc w:val="left"/>
            </w:pPr>
            <w:r>
              <w:rPr>
                <w:rFonts w:ascii="Arial" w:hAnsi="Arial"/>
                <w:color w:val="1F2937"/>
                <w:sz w:val="16"/>
              </w:rPr>
              <w:t>recommended_fan_units_on</w:t>
            </w:r>
          </w:p>
        </w:tc>
        <w:tc>
          <w:tcPr>
            <w:tcW w:type="dxa" w:w="6408"/>
            <w:shd w:fill="F9FAFB"/>
            <w:vAlign w:val="top"/>
          </w:tcPr>
          <w:p>
            <w:pPr>
              <w:jc w:val="left"/>
            </w:pPr>
            <w:r>
              <w:rPr>
                <w:rFonts w:ascii="Arial" w:hAnsi="Arial"/>
                <w:color w:val="1F2937"/>
                <w:sz w:val="16"/>
              </w:rPr>
              <w:t>Integer, may be zero</w:t>
            </w:r>
          </w:p>
        </w:tc>
      </w:tr>
      <w:tr>
        <w:trPr>
          <w:cantSplit/>
        </w:trPr>
        <w:tc>
          <w:tcPr>
            <w:tcW w:type="dxa" w:w="3168"/>
            <w:vAlign w:val="top"/>
          </w:tcPr>
          <w:p>
            <w:pPr>
              <w:jc w:val="left"/>
            </w:pPr>
            <w:r>
              <w:rPr>
                <w:rFonts w:ascii="Arial" w:hAnsi="Arial"/>
                <w:color w:val="1F2937"/>
                <w:sz w:val="16"/>
              </w:rPr>
              <w:t>grid_energy_kwh</w:t>
            </w:r>
          </w:p>
        </w:tc>
        <w:tc>
          <w:tcPr>
            <w:tcW w:type="dxa" w:w="6408"/>
            <w:vAlign w:val="top"/>
          </w:tcPr>
          <w:p>
            <w:pPr>
              <w:jc w:val="left"/>
            </w:pPr>
            <w:r>
              <w:rPr>
                <w:rFonts w:ascii="Arial" w:hAnsi="Arial"/>
                <w:color w:val="1F2937"/>
                <w:sz w:val="16"/>
              </w:rPr>
              <w:t>Energy drawn from grid during interval</w:t>
            </w:r>
          </w:p>
        </w:tc>
      </w:tr>
      <w:tr>
        <w:trPr>
          <w:cantSplit/>
        </w:trPr>
        <w:tc>
          <w:tcPr>
            <w:tcW w:type="dxa" w:w="3168"/>
            <w:shd w:fill="F9FAFB"/>
            <w:vAlign w:val="top"/>
          </w:tcPr>
          <w:p>
            <w:pPr>
              <w:jc w:val="left"/>
            </w:pPr>
            <w:r>
              <w:rPr>
                <w:rFonts w:ascii="Arial" w:hAnsi="Arial"/>
                <w:color w:val="1F2937"/>
                <w:sz w:val="16"/>
              </w:rPr>
              <w:t>solar_energy_used_kwh</w:t>
            </w:r>
          </w:p>
        </w:tc>
        <w:tc>
          <w:tcPr>
            <w:tcW w:type="dxa" w:w="6408"/>
            <w:shd w:fill="F9FAFB"/>
            <w:vAlign w:val="top"/>
          </w:tcPr>
          <w:p>
            <w:pPr>
              <w:jc w:val="left"/>
            </w:pPr>
            <w:r>
              <w:rPr>
                <w:rFonts w:ascii="Arial" w:hAnsi="Arial"/>
                <w:color w:val="1F2937"/>
                <w:sz w:val="16"/>
              </w:rPr>
              <w:t>Solar energy used directly or for charging</w:t>
            </w:r>
          </w:p>
        </w:tc>
      </w:tr>
      <w:tr>
        <w:trPr>
          <w:cantSplit/>
        </w:trPr>
        <w:tc>
          <w:tcPr>
            <w:tcW w:type="dxa" w:w="3168"/>
            <w:vAlign w:val="top"/>
          </w:tcPr>
          <w:p>
            <w:pPr>
              <w:jc w:val="left"/>
            </w:pPr>
            <w:r>
              <w:rPr>
                <w:rFonts w:ascii="Arial" w:hAnsi="Arial"/>
                <w:color w:val="1F2937"/>
                <w:sz w:val="16"/>
              </w:rPr>
              <w:t>battery_charge_kwh</w:t>
            </w:r>
          </w:p>
        </w:tc>
        <w:tc>
          <w:tcPr>
            <w:tcW w:type="dxa" w:w="6408"/>
            <w:vAlign w:val="top"/>
          </w:tcPr>
          <w:p>
            <w:pPr>
              <w:jc w:val="left"/>
            </w:pPr>
            <w:r>
              <w:rPr>
                <w:rFonts w:ascii="Arial" w:hAnsi="Arial"/>
                <w:color w:val="1F2937"/>
                <w:sz w:val="16"/>
              </w:rPr>
              <w:t>Battery charging input during interval</w:t>
            </w:r>
          </w:p>
        </w:tc>
      </w:tr>
      <w:tr>
        <w:trPr>
          <w:cantSplit/>
        </w:trPr>
        <w:tc>
          <w:tcPr>
            <w:tcW w:type="dxa" w:w="3168"/>
            <w:shd w:fill="F9FAFB"/>
            <w:vAlign w:val="top"/>
          </w:tcPr>
          <w:p>
            <w:pPr>
              <w:jc w:val="left"/>
            </w:pPr>
            <w:r>
              <w:rPr>
                <w:rFonts w:ascii="Arial" w:hAnsi="Arial"/>
                <w:color w:val="1F2937"/>
                <w:sz w:val="16"/>
              </w:rPr>
              <w:t>battery_discharge_kwh</w:t>
            </w:r>
          </w:p>
        </w:tc>
        <w:tc>
          <w:tcPr>
            <w:tcW w:type="dxa" w:w="6408"/>
            <w:shd w:fill="F9FAFB"/>
            <w:vAlign w:val="top"/>
          </w:tcPr>
          <w:p>
            <w:pPr>
              <w:jc w:val="left"/>
            </w:pPr>
            <w:r>
              <w:rPr>
                <w:rFonts w:ascii="Arial" w:hAnsi="Arial"/>
                <w:color w:val="1F2937"/>
                <w:sz w:val="16"/>
              </w:rPr>
              <w:t>Battery output during interval</w:t>
            </w:r>
          </w:p>
        </w:tc>
      </w:tr>
      <w:tr>
        <w:trPr>
          <w:cantSplit/>
        </w:trPr>
        <w:tc>
          <w:tcPr>
            <w:tcW w:type="dxa" w:w="3168"/>
            <w:vAlign w:val="top"/>
          </w:tcPr>
          <w:p>
            <w:pPr>
              <w:jc w:val="left"/>
            </w:pPr>
            <w:r>
              <w:rPr>
                <w:rFonts w:ascii="Arial" w:hAnsi="Arial"/>
                <w:color w:val="1F2937"/>
                <w:sz w:val="16"/>
              </w:rPr>
              <w:t>battery_soc_kwh</w:t>
            </w:r>
          </w:p>
        </w:tc>
        <w:tc>
          <w:tcPr>
            <w:tcW w:type="dxa" w:w="6408"/>
            <w:vAlign w:val="top"/>
          </w:tcPr>
          <w:p>
            <w:pPr>
              <w:jc w:val="left"/>
            </w:pPr>
            <w:r>
              <w:rPr>
                <w:rFonts w:ascii="Arial" w:hAnsi="Arial"/>
                <w:color w:val="1F2937"/>
                <w:sz w:val="16"/>
              </w:rPr>
              <w:t>End-of-interval state of charge</w:t>
            </w:r>
          </w:p>
        </w:tc>
      </w:tr>
      <w:tr>
        <w:trPr>
          <w:cantSplit/>
        </w:trPr>
        <w:tc>
          <w:tcPr>
            <w:tcW w:type="dxa" w:w="3168"/>
            <w:shd w:fill="F9FAFB"/>
            <w:vAlign w:val="top"/>
          </w:tcPr>
          <w:p>
            <w:pPr>
              <w:jc w:val="left"/>
            </w:pPr>
            <w:r>
              <w:rPr>
                <w:rFonts w:ascii="Arial" w:hAnsi="Arial"/>
                <w:color w:val="1F2937"/>
                <w:sz w:val="16"/>
              </w:rPr>
              <w:t>cooling_energy_kwh</w:t>
            </w:r>
          </w:p>
        </w:tc>
        <w:tc>
          <w:tcPr>
            <w:tcW w:type="dxa" w:w="6408"/>
            <w:shd w:fill="F9FAFB"/>
            <w:vAlign w:val="top"/>
          </w:tcPr>
          <w:p>
            <w:pPr>
              <w:jc w:val="left"/>
            </w:pPr>
            <w:r>
              <w:rPr>
                <w:rFonts w:ascii="Arial" w:hAnsi="Arial"/>
                <w:color w:val="1F2937"/>
                <w:sz w:val="16"/>
              </w:rPr>
              <w:t>Cooling-appliance energy during interval</w:t>
            </w:r>
          </w:p>
        </w:tc>
      </w:tr>
      <w:tr>
        <w:trPr>
          <w:cantSplit/>
        </w:trPr>
        <w:tc>
          <w:tcPr>
            <w:tcW w:type="dxa" w:w="3168"/>
            <w:vAlign w:val="top"/>
          </w:tcPr>
          <w:p>
            <w:pPr>
              <w:jc w:val="left"/>
            </w:pPr>
            <w:r>
              <w:rPr>
                <w:rFonts w:ascii="Arial" w:hAnsi="Arial"/>
                <w:color w:val="1F2937"/>
                <w:sz w:val="16"/>
              </w:rPr>
              <w:t>estimated_indoor_temp_c</w:t>
            </w:r>
          </w:p>
        </w:tc>
        <w:tc>
          <w:tcPr>
            <w:tcW w:type="dxa" w:w="6408"/>
            <w:vAlign w:val="top"/>
          </w:tcPr>
          <w:p>
            <w:pPr>
              <w:jc w:val="left"/>
            </w:pPr>
            <w:r>
              <w:rPr>
                <w:rFonts w:ascii="Arial" w:hAnsi="Arial"/>
                <w:color w:val="1F2937"/>
                <w:sz w:val="16"/>
              </w:rPr>
              <w:t>Estimated indoor temperature</w:t>
            </w:r>
          </w:p>
        </w:tc>
      </w:tr>
      <w:tr>
        <w:trPr>
          <w:cantSplit/>
        </w:trPr>
        <w:tc>
          <w:tcPr>
            <w:tcW w:type="dxa" w:w="3168"/>
            <w:shd w:fill="F9FAFB"/>
            <w:vAlign w:val="top"/>
          </w:tcPr>
          <w:p>
            <w:pPr>
              <w:jc w:val="left"/>
            </w:pPr>
            <w:r>
              <w:rPr>
                <w:rFonts w:ascii="Arial" w:hAnsi="Arial"/>
                <w:color w:val="1F2937"/>
                <w:sz w:val="16"/>
              </w:rPr>
              <w:t>comfort_status</w:t>
            </w:r>
          </w:p>
        </w:tc>
        <w:tc>
          <w:tcPr>
            <w:tcW w:type="dxa" w:w="6408"/>
            <w:shd w:fill="F9FAFB"/>
            <w:vAlign w:val="top"/>
          </w:tcPr>
          <w:p>
            <w:pPr>
              <w:jc w:val="left"/>
            </w:pPr>
            <w:r>
              <w:rPr>
                <w:rFonts w:ascii="Arial" w:hAnsi="Arial"/>
                <w:color w:val="1F2937"/>
                <w:sz w:val="16"/>
              </w:rPr>
              <w:t>Within range, warning, unsafe or infeasible</w:t>
            </w:r>
          </w:p>
        </w:tc>
      </w:tr>
      <w:tr>
        <w:trPr>
          <w:cantSplit/>
        </w:trPr>
        <w:tc>
          <w:tcPr>
            <w:tcW w:type="dxa" w:w="3168"/>
            <w:vAlign w:val="top"/>
          </w:tcPr>
          <w:p>
            <w:pPr>
              <w:jc w:val="left"/>
            </w:pPr>
            <w:r>
              <w:rPr>
                <w:rFonts w:ascii="Arial" w:hAnsi="Arial"/>
                <w:color w:val="1F2937"/>
                <w:sz w:val="16"/>
              </w:rPr>
              <w:t>interval_cost_pkr</w:t>
            </w:r>
          </w:p>
        </w:tc>
        <w:tc>
          <w:tcPr>
            <w:tcW w:type="dxa" w:w="6408"/>
            <w:vAlign w:val="top"/>
          </w:tcPr>
          <w:p>
            <w:pPr>
              <w:jc w:val="left"/>
            </w:pPr>
            <w:r>
              <w:rPr>
                <w:rFonts w:ascii="Arial" w:hAnsi="Arial"/>
                <w:color w:val="1F2937"/>
                <w:sz w:val="16"/>
              </w:rPr>
              <w:t>Grid electricity cost</w:t>
            </w:r>
          </w:p>
        </w:tc>
      </w:tr>
      <w:tr>
        <w:trPr>
          <w:cantSplit/>
        </w:trPr>
        <w:tc>
          <w:tcPr>
            <w:tcW w:type="dxa" w:w="3168"/>
            <w:shd w:fill="F9FAFB"/>
            <w:vAlign w:val="top"/>
          </w:tcPr>
          <w:p>
            <w:pPr>
              <w:jc w:val="left"/>
            </w:pPr>
            <w:r>
              <w:rPr>
                <w:rFonts w:ascii="Arial" w:hAnsi="Arial"/>
                <w:color w:val="1F2937"/>
                <w:sz w:val="16"/>
              </w:rPr>
              <w:t>interval_emissions_kgco2e</w:t>
            </w:r>
          </w:p>
        </w:tc>
        <w:tc>
          <w:tcPr>
            <w:tcW w:type="dxa" w:w="6408"/>
            <w:shd w:fill="F9FAFB"/>
            <w:vAlign w:val="top"/>
          </w:tcPr>
          <w:p>
            <w:pPr>
              <w:jc w:val="left"/>
            </w:pPr>
            <w:r>
              <w:rPr>
                <w:rFonts w:ascii="Arial" w:hAnsi="Arial"/>
                <w:color w:val="1F2937"/>
                <w:sz w:val="16"/>
              </w:rPr>
              <w:t>Emissions from grid electricity</w:t>
            </w:r>
          </w:p>
        </w:tc>
      </w:tr>
      <w:tr>
        <w:trPr>
          <w:cantSplit/>
        </w:trPr>
        <w:tc>
          <w:tcPr>
            <w:tcW w:type="dxa" w:w="3168"/>
            <w:vAlign w:val="top"/>
          </w:tcPr>
          <w:p>
            <w:pPr>
              <w:jc w:val="left"/>
            </w:pPr>
            <w:r>
              <w:rPr>
                <w:rFonts w:ascii="Arial" w:hAnsi="Arial"/>
                <w:color w:val="1F2937"/>
                <w:sz w:val="16"/>
              </w:rPr>
              <w:t>reason_code</w:t>
            </w:r>
          </w:p>
        </w:tc>
        <w:tc>
          <w:tcPr>
            <w:tcW w:type="dxa" w:w="6408"/>
            <w:vAlign w:val="top"/>
          </w:tcPr>
          <w:p>
            <w:pPr>
              <w:jc w:val="left"/>
            </w:pPr>
            <w:r>
              <w:rPr>
                <w:rFonts w:ascii="Arial" w:hAnsi="Arial"/>
                <w:color w:val="1F2937"/>
                <w:sz w:val="16"/>
              </w:rPr>
              <w:t>Controlled code such as HEAT_RISK, SOLAR_AVAILABLE or PEAK_TARIFF</w:t>
            </w:r>
          </w:p>
        </w:tc>
      </w:tr>
      <w:tr>
        <w:trPr>
          <w:cantSplit/>
        </w:trPr>
        <w:tc>
          <w:tcPr>
            <w:tcW w:type="dxa" w:w="3168"/>
            <w:shd w:fill="F9FAFB"/>
            <w:vAlign w:val="top"/>
          </w:tcPr>
          <w:p>
            <w:pPr>
              <w:jc w:val="left"/>
            </w:pPr>
            <w:r>
              <w:rPr>
                <w:rFonts w:ascii="Arial" w:hAnsi="Arial"/>
                <w:color w:val="1F2937"/>
                <w:sz w:val="16"/>
              </w:rPr>
              <w:t>explanation</w:t>
            </w:r>
          </w:p>
        </w:tc>
        <w:tc>
          <w:tcPr>
            <w:tcW w:type="dxa" w:w="6408"/>
            <w:shd w:fill="F9FAFB"/>
            <w:vAlign w:val="top"/>
          </w:tcPr>
          <w:p>
            <w:pPr>
              <w:jc w:val="left"/>
            </w:pPr>
            <w:r>
              <w:rPr>
                <w:rFonts w:ascii="Arial" w:hAnsi="Arial"/>
                <w:color w:val="1F2937"/>
                <w:sz w:val="16"/>
              </w:rPr>
              <w:t>Human-readable reason for the decision</w:t>
            </w:r>
          </w:p>
        </w:tc>
      </w:tr>
      <w:tr>
        <w:trPr>
          <w:cantSplit/>
        </w:trPr>
        <w:tc>
          <w:tcPr>
            <w:tcW w:type="dxa" w:w="3168"/>
            <w:vAlign w:val="top"/>
          </w:tcPr>
          <w:p>
            <w:pPr>
              <w:jc w:val="left"/>
            </w:pPr>
            <w:r>
              <w:rPr>
                <w:rFonts w:ascii="Arial" w:hAnsi="Arial"/>
                <w:color w:val="1F2937"/>
                <w:sz w:val="16"/>
              </w:rPr>
              <w:t>constraint_violation_count</w:t>
            </w:r>
          </w:p>
        </w:tc>
        <w:tc>
          <w:tcPr>
            <w:tcW w:type="dxa" w:w="6408"/>
            <w:vAlign w:val="top"/>
          </w:tcPr>
          <w:p>
            <w:pPr>
              <w:jc w:val="left"/>
            </w:pPr>
            <w:r>
              <w:rPr>
                <w:rFonts w:ascii="Arial" w:hAnsi="Arial"/>
                <w:color w:val="1F2937"/>
                <w:sz w:val="16"/>
              </w:rPr>
              <w:t>Zero for feasible intervals; otherwise count and details</w:t>
            </w:r>
          </w:p>
        </w:tc>
      </w:tr>
    </w:tbl>
    <w:p>
      <w:pPr>
        <w:spacing w:after="0"/>
      </w:pPr>
    </w:p>
    <w:p>
      <w:pPr>
        <w:pStyle w:val="Heading1"/>
      </w:pPr>
      <w:r>
        <w:t>12. Summary Metrics</w:t>
      </w:r>
    </w:p>
    <w:tbl>
      <w:tblPr>
        <w:tblStyle w:val="TableGrid"/>
        <w:tblW w:type="auto" w:w="0"/>
        <w:jc w:val="center"/>
        <w:tblLayout w:type="fixed"/>
        <w:tblLook w:firstColumn="1" w:firstRow="1" w:lastColumn="0" w:lastRow="0" w:noHBand="0" w:noVBand="1" w:val="04A0"/>
      </w:tblPr>
      <w:tblGrid>
        <w:gridCol w:w="4874"/>
        <w:gridCol w:w="4874"/>
      </w:tblGrid>
      <w:tr>
        <w:trPr>
          <w:tblHeader w:val="true"/>
        </w:trPr>
        <w:tc>
          <w:tcPr>
            <w:tcW w:type="dxa" w:w="3240"/>
            <w:shd w:fill="166534"/>
            <w:vAlign w:val="center"/>
          </w:tcPr>
          <w:p>
            <w:pPr>
              <w:jc w:val="center"/>
            </w:pPr>
            <w:r>
              <w:rPr>
                <w:rFonts w:ascii="Arial" w:hAnsi="Arial"/>
                <w:b/>
                <w:color w:val="FFFFFF"/>
                <w:sz w:val="17"/>
              </w:rPr>
              <w:t>Metric</w:t>
            </w:r>
          </w:p>
        </w:tc>
        <w:tc>
          <w:tcPr>
            <w:tcW w:type="dxa" w:w="6336"/>
            <w:shd w:fill="166534"/>
            <w:vAlign w:val="center"/>
          </w:tcPr>
          <w:p>
            <w:pPr>
              <w:jc w:val="center"/>
            </w:pPr>
            <w:r>
              <w:rPr>
                <w:rFonts w:ascii="Arial" w:hAnsi="Arial"/>
                <w:b/>
                <w:color w:val="FFFFFF"/>
                <w:sz w:val="17"/>
              </w:rPr>
              <w:t>Calculation or expectation</w:t>
            </w:r>
          </w:p>
        </w:tc>
      </w:tr>
      <w:tr>
        <w:trPr>
          <w:cantSplit/>
        </w:trPr>
        <w:tc>
          <w:tcPr>
            <w:tcW w:type="dxa" w:w="3240"/>
            <w:vAlign w:val="top"/>
          </w:tcPr>
          <w:p>
            <w:pPr>
              <w:jc w:val="left"/>
            </w:pPr>
            <w:r>
              <w:rPr>
                <w:rFonts w:ascii="Arial" w:hAnsi="Arial"/>
                <w:color w:val="1F2937"/>
                <w:sz w:val="17"/>
              </w:rPr>
              <w:t>Total cooling energy</w:t>
            </w:r>
          </w:p>
        </w:tc>
        <w:tc>
          <w:tcPr>
            <w:tcW w:type="dxa" w:w="6336"/>
            <w:vAlign w:val="top"/>
          </w:tcPr>
          <w:p>
            <w:pPr>
              <w:jc w:val="left"/>
            </w:pPr>
            <w:r>
              <w:rPr>
                <w:rFonts w:ascii="Arial" w:hAnsi="Arial"/>
                <w:color w:val="1F2937"/>
                <w:sz w:val="17"/>
              </w:rPr>
              <w:t>Sum of interval cooling energy</w:t>
            </w:r>
          </w:p>
        </w:tc>
      </w:tr>
      <w:tr>
        <w:trPr>
          <w:cantSplit/>
        </w:trPr>
        <w:tc>
          <w:tcPr>
            <w:tcW w:type="dxa" w:w="3240"/>
            <w:shd w:fill="F9FAFB"/>
            <w:vAlign w:val="top"/>
          </w:tcPr>
          <w:p>
            <w:pPr>
              <w:jc w:val="left"/>
            </w:pPr>
            <w:r>
              <w:rPr>
                <w:rFonts w:ascii="Arial" w:hAnsi="Arial"/>
                <w:color w:val="1F2937"/>
                <w:sz w:val="17"/>
              </w:rPr>
              <w:t>Total grid energy</w:t>
            </w:r>
          </w:p>
        </w:tc>
        <w:tc>
          <w:tcPr>
            <w:tcW w:type="dxa" w:w="6336"/>
            <w:shd w:fill="F9FAFB"/>
            <w:vAlign w:val="top"/>
          </w:tcPr>
          <w:p>
            <w:pPr>
              <w:jc w:val="left"/>
            </w:pPr>
            <w:r>
              <w:rPr>
                <w:rFonts w:ascii="Arial" w:hAnsi="Arial"/>
                <w:color w:val="1F2937"/>
                <w:sz w:val="17"/>
              </w:rPr>
              <w:t>Sum of interval grid energy</w:t>
            </w:r>
          </w:p>
        </w:tc>
      </w:tr>
      <w:tr>
        <w:trPr>
          <w:cantSplit/>
        </w:trPr>
        <w:tc>
          <w:tcPr>
            <w:tcW w:type="dxa" w:w="3240"/>
            <w:vAlign w:val="top"/>
          </w:tcPr>
          <w:p>
            <w:pPr>
              <w:jc w:val="left"/>
            </w:pPr>
            <w:r>
              <w:rPr>
                <w:rFonts w:ascii="Arial" w:hAnsi="Arial"/>
                <w:color w:val="1F2937"/>
                <w:sz w:val="17"/>
              </w:rPr>
              <w:t>Total cost</w:t>
            </w:r>
          </w:p>
        </w:tc>
        <w:tc>
          <w:tcPr>
            <w:tcW w:type="dxa" w:w="6336"/>
            <w:vAlign w:val="top"/>
          </w:tcPr>
          <w:p>
            <w:pPr>
              <w:jc w:val="left"/>
            </w:pPr>
            <w:r>
              <w:rPr>
                <w:rFonts w:ascii="Arial" w:hAnsi="Arial"/>
                <w:color w:val="1F2937"/>
                <w:sz w:val="17"/>
              </w:rPr>
              <w:t>Sum of interval electricity cost</w:t>
            </w:r>
          </w:p>
        </w:tc>
      </w:tr>
      <w:tr>
        <w:trPr>
          <w:cantSplit/>
        </w:trPr>
        <w:tc>
          <w:tcPr>
            <w:tcW w:type="dxa" w:w="3240"/>
            <w:shd w:fill="F9FAFB"/>
            <w:vAlign w:val="top"/>
          </w:tcPr>
          <w:p>
            <w:pPr>
              <w:jc w:val="left"/>
            </w:pPr>
            <w:r>
              <w:rPr>
                <w:rFonts w:ascii="Arial" w:hAnsi="Arial"/>
                <w:color w:val="1F2937"/>
                <w:sz w:val="17"/>
              </w:rPr>
              <w:t>Total emissions</w:t>
            </w:r>
          </w:p>
        </w:tc>
        <w:tc>
          <w:tcPr>
            <w:tcW w:type="dxa" w:w="6336"/>
            <w:shd w:fill="F9FAFB"/>
            <w:vAlign w:val="top"/>
          </w:tcPr>
          <w:p>
            <w:pPr>
              <w:jc w:val="left"/>
            </w:pPr>
            <w:r>
              <w:rPr>
                <w:rFonts w:ascii="Arial" w:hAnsi="Arial"/>
                <w:color w:val="1F2937"/>
                <w:sz w:val="17"/>
              </w:rPr>
              <w:t>Sum of interval grid emissions</w:t>
            </w:r>
          </w:p>
        </w:tc>
      </w:tr>
      <w:tr>
        <w:trPr>
          <w:cantSplit/>
        </w:trPr>
        <w:tc>
          <w:tcPr>
            <w:tcW w:type="dxa" w:w="3240"/>
            <w:vAlign w:val="top"/>
          </w:tcPr>
          <w:p>
            <w:pPr>
              <w:jc w:val="left"/>
            </w:pPr>
            <w:r>
              <w:rPr>
                <w:rFonts w:ascii="Arial" w:hAnsi="Arial"/>
                <w:color w:val="1F2937"/>
                <w:sz w:val="17"/>
              </w:rPr>
              <w:t>Peak grid demand</w:t>
            </w:r>
          </w:p>
        </w:tc>
        <w:tc>
          <w:tcPr>
            <w:tcW w:type="dxa" w:w="6336"/>
            <w:vAlign w:val="top"/>
          </w:tcPr>
          <w:p>
            <w:pPr>
              <w:jc w:val="left"/>
            </w:pPr>
            <w:r>
              <w:rPr>
                <w:rFonts w:ascii="Arial" w:hAnsi="Arial"/>
                <w:color w:val="1F2937"/>
                <w:sz w:val="17"/>
              </w:rPr>
              <w:t>Maximum grid power over any interval</w:t>
            </w:r>
          </w:p>
        </w:tc>
      </w:tr>
      <w:tr>
        <w:trPr>
          <w:cantSplit/>
        </w:trPr>
        <w:tc>
          <w:tcPr>
            <w:tcW w:type="dxa" w:w="3240"/>
            <w:shd w:fill="F9FAFB"/>
            <w:vAlign w:val="top"/>
          </w:tcPr>
          <w:p>
            <w:pPr>
              <w:jc w:val="left"/>
            </w:pPr>
            <w:r>
              <w:rPr>
                <w:rFonts w:ascii="Arial" w:hAnsi="Arial"/>
                <w:color w:val="1F2937"/>
                <w:sz w:val="17"/>
              </w:rPr>
              <w:t>Peak-period grid energy</w:t>
            </w:r>
          </w:p>
        </w:tc>
        <w:tc>
          <w:tcPr>
            <w:tcW w:type="dxa" w:w="6336"/>
            <w:shd w:fill="F9FAFB"/>
            <w:vAlign w:val="top"/>
          </w:tcPr>
          <w:p>
            <w:pPr>
              <w:jc w:val="left"/>
            </w:pPr>
            <w:r>
              <w:rPr>
                <w:rFonts w:ascii="Arial" w:hAnsi="Arial"/>
                <w:color w:val="1F2937"/>
                <w:sz w:val="17"/>
              </w:rPr>
              <w:t>Grid energy consumed during marked peak intervals</w:t>
            </w:r>
          </w:p>
        </w:tc>
      </w:tr>
      <w:tr>
        <w:trPr>
          <w:cantSplit/>
        </w:trPr>
        <w:tc>
          <w:tcPr>
            <w:tcW w:type="dxa" w:w="3240"/>
            <w:vAlign w:val="top"/>
          </w:tcPr>
          <w:p>
            <w:pPr>
              <w:jc w:val="left"/>
            </w:pPr>
            <w:r>
              <w:rPr>
                <w:rFonts w:ascii="Arial" w:hAnsi="Arial"/>
                <w:color w:val="1F2937"/>
                <w:sz w:val="17"/>
              </w:rPr>
              <w:t>Solar utilization rate</w:t>
            </w:r>
          </w:p>
        </w:tc>
        <w:tc>
          <w:tcPr>
            <w:tcW w:type="dxa" w:w="6336"/>
            <w:vAlign w:val="top"/>
          </w:tcPr>
          <w:p>
            <w:pPr>
              <w:jc w:val="left"/>
            </w:pPr>
            <w:r>
              <w:rPr>
                <w:rFonts w:ascii="Arial" w:hAnsi="Arial"/>
                <w:color w:val="1F2937"/>
                <w:sz w:val="17"/>
              </w:rPr>
              <w:t>Solar energy used ÷ available solar energy</w:t>
            </w:r>
          </w:p>
        </w:tc>
      </w:tr>
      <w:tr>
        <w:trPr>
          <w:cantSplit/>
        </w:trPr>
        <w:tc>
          <w:tcPr>
            <w:tcW w:type="dxa" w:w="3240"/>
            <w:shd w:fill="F9FAFB"/>
            <w:vAlign w:val="top"/>
          </w:tcPr>
          <w:p>
            <w:pPr>
              <w:jc w:val="left"/>
            </w:pPr>
            <w:r>
              <w:rPr>
                <w:rFonts w:ascii="Arial" w:hAnsi="Arial"/>
                <w:color w:val="1F2937"/>
                <w:sz w:val="17"/>
              </w:rPr>
              <w:t>Comfort compliance</w:t>
            </w:r>
          </w:p>
        </w:tc>
        <w:tc>
          <w:tcPr>
            <w:tcW w:type="dxa" w:w="6336"/>
            <w:shd w:fill="F9FAFB"/>
            <w:vAlign w:val="top"/>
          </w:tcPr>
          <w:p>
            <w:pPr>
              <w:jc w:val="left"/>
            </w:pPr>
            <w:r>
              <w:rPr>
                <w:rFonts w:ascii="Arial" w:hAnsi="Arial"/>
                <w:color w:val="1F2937"/>
                <w:sz w:val="17"/>
              </w:rPr>
              <w:t>Occupied intervals within comfort range ÷ occupied intervals</w:t>
            </w:r>
          </w:p>
        </w:tc>
      </w:tr>
      <w:tr>
        <w:trPr>
          <w:cantSplit/>
        </w:trPr>
        <w:tc>
          <w:tcPr>
            <w:tcW w:type="dxa" w:w="3240"/>
            <w:vAlign w:val="top"/>
          </w:tcPr>
          <w:p>
            <w:pPr>
              <w:jc w:val="left"/>
            </w:pPr>
            <w:r>
              <w:rPr>
                <w:rFonts w:ascii="Arial" w:hAnsi="Arial"/>
                <w:color w:val="1F2937"/>
                <w:sz w:val="17"/>
              </w:rPr>
              <w:t>Unsafe heat exposure</w:t>
            </w:r>
          </w:p>
        </w:tc>
        <w:tc>
          <w:tcPr>
            <w:tcW w:type="dxa" w:w="6336"/>
            <w:vAlign w:val="top"/>
          </w:tcPr>
          <w:p>
            <w:pPr>
              <w:jc w:val="left"/>
            </w:pPr>
            <w:r>
              <w:rPr>
                <w:rFonts w:ascii="Arial" w:hAnsi="Arial"/>
                <w:color w:val="1F2937"/>
                <w:sz w:val="17"/>
              </w:rPr>
              <w:t>Number or duration of occupied unsafe intervals</w:t>
            </w:r>
          </w:p>
        </w:tc>
      </w:tr>
      <w:tr>
        <w:trPr>
          <w:cantSplit/>
        </w:trPr>
        <w:tc>
          <w:tcPr>
            <w:tcW w:type="dxa" w:w="3240"/>
            <w:shd w:fill="F9FAFB"/>
            <w:vAlign w:val="top"/>
          </w:tcPr>
          <w:p>
            <w:pPr>
              <w:jc w:val="left"/>
            </w:pPr>
            <w:r>
              <w:rPr>
                <w:rFonts w:ascii="Arial" w:hAnsi="Arial"/>
                <w:color w:val="1F2937"/>
                <w:sz w:val="17"/>
              </w:rPr>
              <w:t>Energy saving</w:t>
            </w:r>
          </w:p>
        </w:tc>
        <w:tc>
          <w:tcPr>
            <w:tcW w:type="dxa" w:w="6336"/>
            <w:shd w:fill="F9FAFB"/>
            <w:vAlign w:val="top"/>
          </w:tcPr>
          <w:p>
            <w:pPr>
              <w:jc w:val="left"/>
            </w:pPr>
            <w:r>
              <w:rPr>
                <w:rFonts w:ascii="Arial" w:hAnsi="Arial"/>
                <w:color w:val="1F2937"/>
                <w:sz w:val="17"/>
              </w:rPr>
              <w:t>Baseline energy − optimized energy</w:t>
            </w:r>
          </w:p>
        </w:tc>
      </w:tr>
      <w:tr>
        <w:trPr>
          <w:cantSplit/>
        </w:trPr>
        <w:tc>
          <w:tcPr>
            <w:tcW w:type="dxa" w:w="3240"/>
            <w:vAlign w:val="top"/>
          </w:tcPr>
          <w:p>
            <w:pPr>
              <w:jc w:val="left"/>
            </w:pPr>
            <w:r>
              <w:rPr>
                <w:rFonts w:ascii="Arial" w:hAnsi="Arial"/>
                <w:color w:val="1F2937"/>
                <w:sz w:val="17"/>
              </w:rPr>
              <w:t>Cost saving</w:t>
            </w:r>
          </w:p>
        </w:tc>
        <w:tc>
          <w:tcPr>
            <w:tcW w:type="dxa" w:w="6336"/>
            <w:vAlign w:val="top"/>
          </w:tcPr>
          <w:p>
            <w:pPr>
              <w:jc w:val="left"/>
            </w:pPr>
            <w:r>
              <w:rPr>
                <w:rFonts w:ascii="Arial" w:hAnsi="Arial"/>
                <w:color w:val="1F2937"/>
                <w:sz w:val="17"/>
              </w:rPr>
              <w:t>Baseline cost − optimized cost</w:t>
            </w:r>
          </w:p>
        </w:tc>
      </w:tr>
      <w:tr>
        <w:trPr>
          <w:cantSplit/>
        </w:trPr>
        <w:tc>
          <w:tcPr>
            <w:tcW w:type="dxa" w:w="3240"/>
            <w:shd w:fill="F9FAFB"/>
            <w:vAlign w:val="top"/>
          </w:tcPr>
          <w:p>
            <w:pPr>
              <w:jc w:val="left"/>
            </w:pPr>
            <w:r>
              <w:rPr>
                <w:rFonts w:ascii="Arial" w:hAnsi="Arial"/>
                <w:color w:val="1F2937"/>
                <w:sz w:val="17"/>
              </w:rPr>
              <w:t>Emission reduction</w:t>
            </w:r>
          </w:p>
        </w:tc>
        <w:tc>
          <w:tcPr>
            <w:tcW w:type="dxa" w:w="6336"/>
            <w:shd w:fill="F9FAFB"/>
            <w:vAlign w:val="top"/>
          </w:tcPr>
          <w:p>
            <w:pPr>
              <w:jc w:val="left"/>
            </w:pPr>
            <w:r>
              <w:rPr>
                <w:rFonts w:ascii="Arial" w:hAnsi="Arial"/>
                <w:color w:val="1F2937"/>
                <w:sz w:val="17"/>
              </w:rPr>
              <w:t>Baseline emissions − optimized emissions</w:t>
            </w:r>
          </w:p>
        </w:tc>
      </w:tr>
    </w:tbl>
    <w:p>
      <w:pPr>
        <w:spacing w:after="0"/>
      </w:pPr>
    </w:p>
    <w:p>
      <w:pPr>
        <w:pStyle w:val="Heading1"/>
      </w:pPr>
      <w:r>
        <w:t>13. Public Output Requirement</w:t>
      </w:r>
    </w:p>
    <w:p>
      <w:pPr>
        <w:pStyle w:val="ListBullet"/>
        <w:spacing w:after="60"/>
      </w:pPr>
      <w:r>
        <w:rPr>
          <w:rFonts w:ascii="Arial" w:hAnsi="Arial"/>
          <w:color w:val="1F2937"/>
        </w:rPr>
        <w:t>Process the complete 30-day dataset for each public scenario without failure.</w:t>
      </w:r>
    </w:p>
    <w:p>
      <w:pPr>
        <w:pStyle w:val="ListBullet"/>
        <w:spacing w:after="60"/>
      </w:pPr>
      <w:r>
        <w:rPr>
          <w:rFonts w:ascii="Arial" w:hAnsi="Arial"/>
          <w:color w:val="1F2937"/>
        </w:rPr>
        <w:t>Submit seven consecutive days of optimized interval output for PUB-A, PUB-B and PUB-C.</w:t>
      </w:r>
    </w:p>
    <w:p>
      <w:pPr>
        <w:pStyle w:val="ListBullet"/>
        <w:spacing w:after="60"/>
      </w:pPr>
      <w:r>
        <w:rPr>
          <w:rFonts w:ascii="Arial" w:hAnsi="Arial"/>
          <w:color w:val="1F2937"/>
        </w:rPr>
        <w:t>Submit seven days of optimized interval output for one custom scenario.</w:t>
      </w:r>
    </w:p>
    <w:p>
      <w:pPr>
        <w:pStyle w:val="ListBullet"/>
        <w:spacing w:after="60"/>
      </w:pPr>
      <w:r>
        <w:rPr>
          <w:rFonts w:ascii="Arial" w:hAnsi="Arial"/>
          <w:color w:val="1F2937"/>
        </w:rPr>
        <w:t>Provide a summary record for every scenario and every day.</w:t>
      </w:r>
    </w:p>
    <w:p>
      <w:pPr>
        <w:pStyle w:val="ListBullet"/>
        <w:spacing w:after="60"/>
      </w:pPr>
      <w:r>
        <w:rPr>
          <w:rFonts w:ascii="Arial" w:hAnsi="Arial"/>
          <w:color w:val="1F2937"/>
        </w:rPr>
        <w:t>Provide one overall summary for each seven-day window.</w:t>
      </w:r>
    </w:p>
    <w:p>
      <w:pPr>
        <w:pStyle w:val="ListBullet"/>
        <w:spacing w:after="60"/>
      </w:pPr>
      <w:r>
        <w:rPr>
          <w:rFonts w:ascii="Arial" w:hAnsi="Arial"/>
          <w:color w:val="1F2937"/>
        </w:rPr>
        <w:t>Include zero-row gaps: missing intervals are not allowed unless clearly marked and justified.</w:t>
      </w:r>
    </w:p>
    <w:p>
      <w:pPr>
        <w:pStyle w:val="ListBullet"/>
        <w:spacing w:after="60"/>
      </w:pPr>
      <w:r>
        <w:rPr>
          <w:rFonts w:ascii="Arial" w:hAnsi="Arial"/>
          <w:color w:val="1F2937"/>
        </w:rPr>
        <w:t>Export machine-readable CSV or XLSX in addition to the visual dashboard.</w:t>
      </w:r>
    </w:p>
    <w:p>
      <w:pPr>
        <w:pStyle w:val="Heading1"/>
      </w:pPr>
      <w:r>
        <w:t>14. Team-Created Custom Scenario</w:t>
      </w:r>
    </w:p>
    <w:p>
      <w:r>
        <w:t>Each team must create one custom scenario of at least seven days (672 intervals). The custom scenario may be created through a live API, an open dataset, a reproducible synthetic generator or a documented combination of sources.</w:t>
      </w:r>
    </w:p>
    <w:tbl>
      <w:tblPr>
        <w:tblStyle w:val="TableGrid"/>
        <w:tblW w:type="auto" w:w="0"/>
        <w:jc w:val="center"/>
        <w:tblLayout w:type="fixed"/>
        <w:tblLook w:firstColumn="1" w:firstRow="1" w:lastColumn="0" w:lastRow="0" w:noHBand="0" w:noVBand="1" w:val="04A0"/>
      </w:tblPr>
      <w:tblGrid>
        <w:gridCol w:w="4874"/>
        <w:gridCol w:w="4874"/>
      </w:tblGrid>
      <w:tr>
        <w:trPr>
          <w:tblHeader w:val="true"/>
        </w:trPr>
        <w:tc>
          <w:tcPr>
            <w:tcW w:type="dxa" w:w="2304"/>
            <w:shd w:fill="166534"/>
            <w:vAlign w:val="center"/>
          </w:tcPr>
          <w:p>
            <w:pPr>
              <w:jc w:val="center"/>
            </w:pPr>
            <w:r>
              <w:rPr>
                <w:rFonts w:ascii="Arial" w:hAnsi="Arial"/>
                <w:b/>
                <w:color w:val="FFFFFF"/>
                <w:sz w:val="17"/>
              </w:rPr>
              <w:t>Required item</w:t>
            </w:r>
          </w:p>
        </w:tc>
        <w:tc>
          <w:tcPr>
            <w:tcW w:type="dxa" w:w="7272"/>
            <w:shd w:fill="166534"/>
            <w:vAlign w:val="center"/>
          </w:tcPr>
          <w:p>
            <w:pPr>
              <w:jc w:val="center"/>
            </w:pPr>
            <w:r>
              <w:rPr>
                <w:rFonts w:ascii="Arial" w:hAnsi="Arial"/>
                <w:b/>
                <w:color w:val="FFFFFF"/>
                <w:sz w:val="17"/>
              </w:rPr>
              <w:t>Expectation</w:t>
            </w:r>
          </w:p>
        </w:tc>
      </w:tr>
      <w:tr>
        <w:trPr>
          <w:cantSplit/>
        </w:trPr>
        <w:tc>
          <w:tcPr>
            <w:tcW w:type="dxa" w:w="2304"/>
            <w:vAlign w:val="top"/>
          </w:tcPr>
          <w:p>
            <w:pPr>
              <w:jc w:val="left"/>
            </w:pPr>
            <w:r>
              <w:rPr>
                <w:rFonts w:ascii="Arial" w:hAnsi="Arial"/>
                <w:color w:val="1F2937"/>
                <w:sz w:val="17"/>
              </w:rPr>
              <w:t>Profile</w:t>
            </w:r>
          </w:p>
        </w:tc>
        <w:tc>
          <w:tcPr>
            <w:tcW w:type="dxa" w:w="7272"/>
            <w:vAlign w:val="top"/>
          </w:tcPr>
          <w:p>
            <w:pPr>
              <w:jc w:val="left"/>
            </w:pPr>
            <w:r>
              <w:rPr>
                <w:rFonts w:ascii="Arial" w:hAnsi="Arial"/>
                <w:color w:val="1F2937"/>
                <w:sz w:val="17"/>
              </w:rPr>
              <w:t>Building, users, appliances, tariff, comfort and energy assets</w:t>
            </w:r>
          </w:p>
        </w:tc>
      </w:tr>
      <w:tr>
        <w:trPr>
          <w:cantSplit/>
        </w:trPr>
        <w:tc>
          <w:tcPr>
            <w:tcW w:type="dxa" w:w="2304"/>
            <w:shd w:fill="F9FAFB"/>
            <w:vAlign w:val="top"/>
          </w:tcPr>
          <w:p>
            <w:pPr>
              <w:jc w:val="left"/>
            </w:pPr>
            <w:r>
              <w:rPr>
                <w:rFonts w:ascii="Arial" w:hAnsi="Arial"/>
                <w:color w:val="1F2937"/>
                <w:sz w:val="17"/>
              </w:rPr>
              <w:t>Time series</w:t>
            </w:r>
          </w:p>
        </w:tc>
        <w:tc>
          <w:tcPr>
            <w:tcW w:type="dxa" w:w="7272"/>
            <w:shd w:fill="F9FAFB"/>
            <w:vAlign w:val="top"/>
          </w:tcPr>
          <w:p>
            <w:pPr>
              <w:jc w:val="left"/>
            </w:pPr>
            <w:r>
              <w:rPr>
                <w:rFonts w:ascii="Arial" w:hAnsi="Arial"/>
                <w:color w:val="1F2937"/>
                <w:sz w:val="17"/>
              </w:rPr>
              <w:t>Weather, occupancy, grid availability, tariff and solar inputs at 15-minute resolution</w:t>
            </w:r>
          </w:p>
        </w:tc>
      </w:tr>
      <w:tr>
        <w:trPr>
          <w:cantSplit/>
        </w:trPr>
        <w:tc>
          <w:tcPr>
            <w:tcW w:type="dxa" w:w="2304"/>
            <w:vAlign w:val="top"/>
          </w:tcPr>
          <w:p>
            <w:pPr>
              <w:jc w:val="left"/>
            </w:pPr>
            <w:r>
              <w:rPr>
                <w:rFonts w:ascii="Arial" w:hAnsi="Arial"/>
                <w:color w:val="1F2937"/>
                <w:sz w:val="17"/>
              </w:rPr>
              <w:t>Provenance</w:t>
            </w:r>
          </w:p>
        </w:tc>
        <w:tc>
          <w:tcPr>
            <w:tcW w:type="dxa" w:w="7272"/>
            <w:vAlign w:val="top"/>
          </w:tcPr>
          <w:p>
            <w:pPr>
              <w:jc w:val="left"/>
            </w:pPr>
            <w:r>
              <w:rPr>
                <w:rFonts w:ascii="Arial" w:hAnsi="Arial"/>
                <w:color w:val="1F2937"/>
                <w:sz w:val="17"/>
              </w:rPr>
              <w:t>Source URLs, licences, retrieval dates or generation assumptions</w:t>
            </w:r>
          </w:p>
        </w:tc>
      </w:tr>
      <w:tr>
        <w:trPr>
          <w:cantSplit/>
        </w:trPr>
        <w:tc>
          <w:tcPr>
            <w:tcW w:type="dxa" w:w="2304"/>
            <w:shd w:fill="F9FAFB"/>
            <w:vAlign w:val="top"/>
          </w:tcPr>
          <w:p>
            <w:pPr>
              <w:jc w:val="left"/>
            </w:pPr>
            <w:r>
              <w:rPr>
                <w:rFonts w:ascii="Arial" w:hAnsi="Arial"/>
                <w:color w:val="1F2937"/>
                <w:sz w:val="17"/>
              </w:rPr>
              <w:t>Reproducibility</w:t>
            </w:r>
          </w:p>
        </w:tc>
        <w:tc>
          <w:tcPr>
            <w:tcW w:type="dxa" w:w="7272"/>
            <w:shd w:fill="F9FAFB"/>
            <w:vAlign w:val="top"/>
          </w:tcPr>
          <w:p>
            <w:pPr>
              <w:jc w:val="left"/>
            </w:pPr>
            <w:r>
              <w:rPr>
                <w:rFonts w:ascii="Arial" w:hAnsi="Arial"/>
                <w:color w:val="1F2937"/>
                <w:sz w:val="17"/>
              </w:rPr>
              <w:t>Generation script/notebook or clear repeatable procedure; random seed where applicable</w:t>
            </w:r>
          </w:p>
        </w:tc>
      </w:tr>
      <w:tr>
        <w:trPr>
          <w:cantSplit/>
        </w:trPr>
        <w:tc>
          <w:tcPr>
            <w:tcW w:type="dxa" w:w="2304"/>
            <w:vAlign w:val="top"/>
          </w:tcPr>
          <w:p>
            <w:pPr>
              <w:jc w:val="left"/>
            </w:pPr>
            <w:r>
              <w:rPr>
                <w:rFonts w:ascii="Arial" w:hAnsi="Arial"/>
                <w:color w:val="1F2937"/>
                <w:sz w:val="17"/>
              </w:rPr>
              <w:t>Quality checks</w:t>
            </w:r>
          </w:p>
        </w:tc>
        <w:tc>
          <w:tcPr>
            <w:tcW w:type="dxa" w:w="7272"/>
            <w:vAlign w:val="top"/>
          </w:tcPr>
          <w:p>
            <w:pPr>
              <w:jc w:val="left"/>
            </w:pPr>
            <w:r>
              <w:rPr>
                <w:rFonts w:ascii="Arial" w:hAnsi="Arial"/>
                <w:color w:val="1F2937"/>
                <w:sz w:val="17"/>
              </w:rPr>
              <w:t>Missing values, ranges, timestamp continuity and unit validation</w:t>
            </w:r>
          </w:p>
        </w:tc>
      </w:tr>
      <w:tr>
        <w:trPr>
          <w:cantSplit/>
        </w:trPr>
        <w:tc>
          <w:tcPr>
            <w:tcW w:type="dxa" w:w="2304"/>
            <w:shd w:fill="F9FAFB"/>
            <w:vAlign w:val="top"/>
          </w:tcPr>
          <w:p>
            <w:pPr>
              <w:jc w:val="left"/>
            </w:pPr>
            <w:r>
              <w:rPr>
                <w:rFonts w:ascii="Arial" w:hAnsi="Arial"/>
                <w:color w:val="1F2937"/>
                <w:sz w:val="17"/>
              </w:rPr>
              <w:t>Difference from public cases</w:t>
            </w:r>
          </w:p>
        </w:tc>
        <w:tc>
          <w:tcPr>
            <w:tcW w:type="dxa" w:w="7272"/>
            <w:shd w:fill="F9FAFB"/>
            <w:vAlign w:val="top"/>
          </w:tcPr>
          <w:p>
            <w:pPr>
              <w:jc w:val="left"/>
            </w:pPr>
            <w:r>
              <w:rPr>
                <w:rFonts w:ascii="Arial" w:hAnsi="Arial"/>
                <w:color w:val="1F2937"/>
                <w:sz w:val="17"/>
              </w:rPr>
              <w:t>At least one meaningful variation in climate, occupancy, tariff, building or energy assets</w:t>
            </w:r>
          </w:p>
        </w:tc>
      </w:tr>
    </w:tbl>
    <w:p>
      <w:pPr>
        <w:spacing w:after="0"/>
      </w:pPr>
    </w:p>
    <w:tbl>
      <w:tblPr>
        <w:tblW w:type="auto" w:w="0"/>
        <w:jc w:val="center"/>
        <w:tblLayout w:type="fixed"/>
        <w:tblLook w:firstColumn="1" w:firstRow="1" w:lastColumn="0" w:lastRow="0" w:noHBand="0" w:noVBand="1" w:val="04A0"/>
      </w:tblPr>
      <w:tblGrid>
        <w:gridCol w:w="9576"/>
      </w:tblGrid>
      <w:tr>
        <w:tc>
          <w:tcPr>
            <w:tcW w:type="dxa" w:w="9749"/>
            <w:shd w:fill="DCFCE7"/>
            <w:tcBorders>
              <w:top w:val="single" w:sz="8" w:color="166534"/>
              <w:left w:val="single" w:sz="8" w:color="166534"/>
              <w:bottom w:val="single" w:sz="8" w:color="166534"/>
              <w:right w:val="single" w:sz="8" w:color="166534"/>
            </w:tcBorders>
          </w:tcPr>
          <w:p>
            <w:r>
              <w:rPr>
                <w:rFonts w:ascii="Arial" w:hAnsi="Arial"/>
                <w:b/>
                <w:color w:val="14532D"/>
                <w:sz w:val="21"/>
              </w:rPr>
              <w:t>What Is Not Required</w:t>
              <w:br/>
            </w:r>
            <w:r>
              <w:rPr>
                <w:rFonts w:ascii="Arial" w:hAnsi="Arial"/>
                <w:color w:val="1F2937"/>
                <w:sz w:val="19"/>
              </w:rPr>
              <w:t>Teams are not expected to collect real sensor data for thousands of intervals during the 48-hour event. A properly documented synthetic or API-derived custom scenario is acceptable.</w:t>
            </w:r>
          </w:p>
        </w:tc>
      </w:tr>
    </w:tbl>
    <w:p>
      <w:pPr>
        <w:spacing w:after="0"/>
      </w:pPr>
    </w:p>
    <w:p>
      <w:pPr>
        <w:pStyle w:val="Heading1"/>
      </w:pPr>
      <w:r>
        <w:t>15. Missing Data and API Failure</w:t>
      </w:r>
    </w:p>
    <w:p>
      <w:pPr>
        <w:pStyle w:val="ListBullet"/>
        <w:spacing w:after="60"/>
      </w:pPr>
      <w:r>
        <w:rPr>
          <w:rFonts w:ascii="Arial" w:hAnsi="Arial"/>
          <w:color w:val="1F2937"/>
        </w:rPr>
        <w:t>The system must identify missing critical records before optimization.</w:t>
      </w:r>
    </w:p>
    <w:p>
      <w:pPr>
        <w:pStyle w:val="ListBullet"/>
        <w:spacing w:after="60"/>
      </w:pPr>
      <w:r>
        <w:rPr>
          <w:rFonts w:ascii="Arial" w:hAnsi="Arial"/>
          <w:color w:val="1F2937"/>
        </w:rPr>
        <w:t>Short gaps may be filled only through a disclosed method such as forward fill, interpolation or fallback defaults.</w:t>
      </w:r>
    </w:p>
    <w:p>
      <w:pPr>
        <w:pStyle w:val="ListBullet"/>
        <w:spacing w:after="60"/>
      </w:pPr>
      <w:r>
        <w:rPr>
          <w:rFonts w:ascii="Arial" w:hAnsi="Arial"/>
          <w:color w:val="1F2937"/>
        </w:rPr>
        <w:t>The original missing-data flag must be retained in logs or outputs.</w:t>
      </w:r>
    </w:p>
    <w:p>
      <w:pPr>
        <w:pStyle w:val="ListBullet"/>
        <w:spacing w:after="60"/>
      </w:pPr>
      <w:r>
        <w:rPr>
          <w:rFonts w:ascii="Arial" w:hAnsi="Arial"/>
          <w:color w:val="1F2937"/>
        </w:rPr>
        <w:t>API-connected systems must include a local fallback using the organizer dataset.</w:t>
      </w:r>
    </w:p>
    <w:p>
      <w:pPr>
        <w:pStyle w:val="ListBullet"/>
        <w:spacing w:after="60"/>
      </w:pPr>
      <w:r>
        <w:rPr>
          <w:rFonts w:ascii="Arial" w:hAnsi="Arial"/>
          <w:color w:val="1F2937"/>
        </w:rPr>
        <w:t>The live demonstration must not depend entirely on internet availability.</w:t>
      </w:r>
    </w:p>
    <w:p>
      <w:pPr>
        <w:pStyle w:val="Heading1"/>
      </w:pPr>
      <w:r>
        <w:t>16. Performance and Reproducibility</w:t>
      </w:r>
    </w:p>
    <w:tbl>
      <w:tblPr>
        <w:tblStyle w:val="TableGrid"/>
        <w:tblW w:type="auto" w:w="0"/>
        <w:jc w:val="center"/>
        <w:tblLayout w:type="fixed"/>
        <w:tblLook w:firstColumn="1" w:firstRow="1" w:lastColumn="0" w:lastRow="0" w:noHBand="0" w:noVBand="1" w:val="04A0"/>
      </w:tblPr>
      <w:tblGrid>
        <w:gridCol w:w="4874"/>
        <w:gridCol w:w="4874"/>
      </w:tblGrid>
      <w:tr>
        <w:trPr>
          <w:tblHeader w:val="true"/>
        </w:trPr>
        <w:tc>
          <w:tcPr>
            <w:tcW w:type="dxa" w:w="3024"/>
            <w:shd w:fill="166534"/>
            <w:vAlign w:val="center"/>
          </w:tcPr>
          <w:p>
            <w:pPr>
              <w:jc w:val="center"/>
            </w:pPr>
            <w:r>
              <w:rPr>
                <w:rFonts w:ascii="Arial" w:hAnsi="Arial"/>
                <w:b/>
                <w:color w:val="FFFFFF"/>
                <w:sz w:val="17"/>
              </w:rPr>
              <w:t>Test</w:t>
            </w:r>
          </w:p>
        </w:tc>
        <w:tc>
          <w:tcPr>
            <w:tcW w:type="dxa" w:w="6552"/>
            <w:shd w:fill="166534"/>
            <w:vAlign w:val="center"/>
          </w:tcPr>
          <w:p>
            <w:pPr>
              <w:jc w:val="center"/>
            </w:pPr>
            <w:r>
              <w:rPr>
                <w:rFonts w:ascii="Arial" w:hAnsi="Arial"/>
                <w:b/>
                <w:color w:val="FFFFFF"/>
                <w:sz w:val="17"/>
              </w:rPr>
              <w:t>Minimum expectation</w:t>
            </w:r>
          </w:p>
        </w:tc>
      </w:tr>
      <w:tr>
        <w:trPr>
          <w:cantSplit/>
        </w:trPr>
        <w:tc>
          <w:tcPr>
            <w:tcW w:type="dxa" w:w="3024"/>
            <w:vAlign w:val="top"/>
          </w:tcPr>
          <w:p>
            <w:pPr>
              <w:jc w:val="left"/>
            </w:pPr>
            <w:r>
              <w:rPr>
                <w:rFonts w:ascii="Arial" w:hAnsi="Arial"/>
                <w:color w:val="1F2937"/>
                <w:sz w:val="17"/>
              </w:rPr>
              <w:t>Single 24-hour run</w:t>
            </w:r>
          </w:p>
        </w:tc>
        <w:tc>
          <w:tcPr>
            <w:tcW w:type="dxa" w:w="6552"/>
            <w:vAlign w:val="top"/>
          </w:tcPr>
          <w:p>
            <w:pPr>
              <w:jc w:val="left"/>
            </w:pPr>
            <w:r>
              <w:rPr>
                <w:rFonts w:ascii="Arial" w:hAnsi="Arial"/>
                <w:color w:val="1F2937"/>
                <w:sz w:val="17"/>
              </w:rPr>
              <w:t>Generate 96 interval recommendations within 60 seconds on the team’s demonstration environment.</w:t>
            </w:r>
          </w:p>
        </w:tc>
      </w:tr>
      <w:tr>
        <w:trPr>
          <w:cantSplit/>
        </w:trPr>
        <w:tc>
          <w:tcPr>
            <w:tcW w:type="dxa" w:w="3024"/>
            <w:shd w:fill="F9FAFB"/>
            <w:vAlign w:val="top"/>
          </w:tcPr>
          <w:p>
            <w:pPr>
              <w:jc w:val="left"/>
            </w:pPr>
            <w:r>
              <w:rPr>
                <w:rFonts w:ascii="Arial" w:hAnsi="Arial"/>
                <w:color w:val="1F2937"/>
                <w:sz w:val="17"/>
              </w:rPr>
              <w:t>Seven-day run</w:t>
            </w:r>
          </w:p>
        </w:tc>
        <w:tc>
          <w:tcPr>
            <w:tcW w:type="dxa" w:w="6552"/>
            <w:shd w:fill="F9FAFB"/>
            <w:vAlign w:val="top"/>
          </w:tcPr>
          <w:p>
            <w:pPr>
              <w:jc w:val="left"/>
            </w:pPr>
            <w:r>
              <w:rPr>
                <w:rFonts w:ascii="Arial" w:hAnsi="Arial"/>
                <w:color w:val="1F2937"/>
                <w:sz w:val="17"/>
              </w:rPr>
              <w:t>Generate 672 interval recommendations within 5 minutes.</w:t>
            </w:r>
          </w:p>
        </w:tc>
      </w:tr>
      <w:tr>
        <w:trPr>
          <w:cantSplit/>
        </w:trPr>
        <w:tc>
          <w:tcPr>
            <w:tcW w:type="dxa" w:w="3024"/>
            <w:vAlign w:val="top"/>
          </w:tcPr>
          <w:p>
            <w:pPr>
              <w:jc w:val="left"/>
            </w:pPr>
            <w:r>
              <w:rPr>
                <w:rFonts w:ascii="Arial" w:hAnsi="Arial"/>
                <w:color w:val="1F2937"/>
                <w:sz w:val="17"/>
              </w:rPr>
              <w:t>Full public import</w:t>
            </w:r>
          </w:p>
        </w:tc>
        <w:tc>
          <w:tcPr>
            <w:tcW w:type="dxa" w:w="6552"/>
            <w:vAlign w:val="top"/>
          </w:tcPr>
          <w:p>
            <w:pPr>
              <w:jc w:val="left"/>
            </w:pPr>
            <w:r>
              <w:rPr>
                <w:rFonts w:ascii="Arial" w:hAnsi="Arial"/>
                <w:color w:val="1F2937"/>
                <w:sz w:val="17"/>
              </w:rPr>
              <w:t>Read and validate all 8,640 interval records.</w:t>
            </w:r>
          </w:p>
        </w:tc>
      </w:tr>
      <w:tr>
        <w:trPr>
          <w:cantSplit/>
        </w:trPr>
        <w:tc>
          <w:tcPr>
            <w:tcW w:type="dxa" w:w="3024"/>
            <w:shd w:fill="F9FAFB"/>
            <w:vAlign w:val="top"/>
          </w:tcPr>
          <w:p>
            <w:pPr>
              <w:jc w:val="left"/>
            </w:pPr>
            <w:r>
              <w:rPr>
                <w:rFonts w:ascii="Arial" w:hAnsi="Arial"/>
                <w:color w:val="1F2937"/>
                <w:sz w:val="17"/>
              </w:rPr>
              <w:t>Repeatability</w:t>
            </w:r>
          </w:p>
        </w:tc>
        <w:tc>
          <w:tcPr>
            <w:tcW w:type="dxa" w:w="6552"/>
            <w:shd w:fill="F9FAFB"/>
            <w:vAlign w:val="top"/>
          </w:tcPr>
          <w:p>
            <w:pPr>
              <w:jc w:val="left"/>
            </w:pPr>
            <w:r>
              <w:rPr>
                <w:rFonts w:ascii="Arial" w:hAnsi="Arial"/>
                <w:color w:val="1F2937"/>
                <w:sz w:val="17"/>
              </w:rPr>
              <w:t>Identical input and settings produce identical output, or a fixed seed is used and disclosed.</w:t>
            </w:r>
          </w:p>
        </w:tc>
      </w:tr>
      <w:tr>
        <w:trPr>
          <w:cantSplit/>
        </w:trPr>
        <w:tc>
          <w:tcPr>
            <w:tcW w:type="dxa" w:w="3024"/>
            <w:vAlign w:val="top"/>
          </w:tcPr>
          <w:p>
            <w:pPr>
              <w:jc w:val="left"/>
            </w:pPr>
            <w:r>
              <w:rPr>
                <w:rFonts w:ascii="Arial" w:hAnsi="Arial"/>
                <w:color w:val="1F2937"/>
                <w:sz w:val="17"/>
              </w:rPr>
              <w:t>Error handling</w:t>
            </w:r>
          </w:p>
        </w:tc>
        <w:tc>
          <w:tcPr>
            <w:tcW w:type="dxa" w:w="6552"/>
            <w:vAlign w:val="top"/>
          </w:tcPr>
          <w:p>
            <w:pPr>
              <w:jc w:val="left"/>
            </w:pPr>
            <w:r>
              <w:rPr>
                <w:rFonts w:ascii="Arial" w:hAnsi="Arial"/>
                <w:color w:val="1F2937"/>
                <w:sz w:val="17"/>
              </w:rPr>
              <w:t>Invalid input returns a clear validation message rather than a crash or silent value.</w:t>
            </w:r>
          </w:p>
        </w:tc>
      </w:tr>
    </w:tbl>
    <w:p>
      <w:pPr>
        <w:spacing w:after="0"/>
      </w:pPr>
    </w:p>
    <w:p>
      <w:pPr>
        <w:pStyle w:val="Heading1"/>
      </w:pPr>
      <w:r>
        <w:t>17. Data Files Supplied</w:t>
      </w:r>
    </w:p>
    <w:p>
      <w:pPr>
        <w:pStyle w:val="ListBullet"/>
        <w:spacing w:after="60"/>
      </w:pPr>
      <w:r>
        <w:rPr>
          <w:rFonts w:ascii="Arial" w:hAnsi="Arial"/>
          <w:color w:val="1F2937"/>
        </w:rPr>
        <w:t>04_CoolShift_Public_Dataset_and_Templates.xlsx</w:t>
      </w:r>
    </w:p>
    <w:p>
      <w:pPr>
        <w:pStyle w:val="ListBullet"/>
        <w:spacing w:after="60"/>
      </w:pPr>
      <w:r>
        <w:rPr>
          <w:rFonts w:ascii="Arial" w:hAnsi="Arial"/>
          <w:color w:val="1F2937"/>
        </w:rPr>
        <w:t>Scenario profiles and appliance definitions</w:t>
      </w:r>
    </w:p>
    <w:p>
      <w:pPr>
        <w:pStyle w:val="ListBullet"/>
        <w:spacing w:after="60"/>
      </w:pPr>
      <w:r>
        <w:rPr>
          <w:rFonts w:ascii="Arial" w:hAnsi="Arial"/>
          <w:color w:val="1F2937"/>
        </w:rPr>
        <w:t>Thirty-day 15-minute public time series</w:t>
      </w:r>
    </w:p>
    <w:p>
      <w:pPr>
        <w:pStyle w:val="ListBullet"/>
        <w:spacing w:after="60"/>
      </w:pPr>
      <w:r>
        <w:rPr>
          <w:rFonts w:ascii="Arial" w:hAnsi="Arial"/>
          <w:color w:val="1F2937"/>
        </w:rPr>
        <w:t>Baseline schedules</w:t>
      </w:r>
    </w:p>
    <w:p>
      <w:pPr>
        <w:pStyle w:val="ListBullet"/>
        <w:spacing w:after="60"/>
      </w:pPr>
      <w:r>
        <w:rPr>
          <w:rFonts w:ascii="Arial" w:hAnsi="Arial"/>
          <w:color w:val="1F2937"/>
        </w:rPr>
        <w:t>Calculation validation cases</w:t>
      </w:r>
    </w:p>
    <w:p>
      <w:pPr>
        <w:pStyle w:val="ListBullet"/>
        <w:spacing w:after="60"/>
      </w:pPr>
      <w:r>
        <w:rPr>
          <w:rFonts w:ascii="Arial" w:hAnsi="Arial"/>
          <w:color w:val="1F2937"/>
        </w:rPr>
        <w:t>Output schedule and summary templates</w:t>
      </w:r>
    </w:p>
    <w:p>
      <w:pPr>
        <w:pStyle w:val="ListBullet"/>
        <w:spacing w:after="60"/>
      </w:pPr>
      <w:r>
        <w:rPr>
          <w:rFonts w:ascii="Arial" w:hAnsi="Arial"/>
          <w:color w:val="1F2937"/>
        </w:rPr>
        <w:t>Custom scenario template</w:t>
      </w:r>
    </w:p>
    <w:p>
      <w:pPr>
        <w:pStyle w:val="ListBullet"/>
        <w:spacing w:after="60"/>
      </w:pPr>
      <w:r>
        <w:rPr>
          <w:rFonts w:ascii="Arial" w:hAnsi="Arial"/>
          <w:color w:val="1F2937"/>
        </w:rPr>
        <w:t>Data dictionary and reason-code list</w:t>
      </w:r>
    </w:p>
    <w:p>
      <w:pPr>
        <w:pStyle w:val="Heading1"/>
      </w:pPr>
      <w:r>
        <w:t>Reference Sources</w:t>
      </w:r>
    </w:p>
    <w:p>
      <w:r>
        <w:t>The challenge is aligned with the official Sustainable Development Goals. Teams may use any lawful and properly attributed data source; the following are useful starting points:</w:t>
      </w:r>
    </w:p>
    <w:p>
      <w:pPr>
        <w:pStyle w:val="ListBullet"/>
        <w:spacing w:after="60"/>
      </w:pPr>
      <w:r>
        <w:rPr>
          <w:rFonts w:ascii="Arial" w:hAnsi="Arial"/>
          <w:color w:val="1F2937"/>
        </w:rPr>
        <w:t>UN SDG 7: https://sdgs.un.org/goals/goal7</w:t>
      </w:r>
    </w:p>
    <w:p>
      <w:pPr>
        <w:pStyle w:val="ListBullet"/>
        <w:spacing w:after="60"/>
      </w:pPr>
      <w:r>
        <w:rPr>
          <w:rFonts w:ascii="Arial" w:hAnsi="Arial"/>
          <w:color w:val="1F2937"/>
        </w:rPr>
        <w:t>UN SDG 13: https://sdgs.un.org/goals/goal13</w:t>
      </w:r>
    </w:p>
    <w:p>
      <w:pPr>
        <w:pStyle w:val="ListBullet"/>
        <w:spacing w:after="60"/>
      </w:pPr>
      <w:r>
        <w:rPr>
          <w:rFonts w:ascii="Arial" w:hAnsi="Arial"/>
          <w:color w:val="1F2937"/>
        </w:rPr>
        <w:t>Open-Meteo weather documentation: https://open-meteo.com/en/docs</w:t>
      </w:r>
    </w:p>
    <w:p>
      <w:pPr>
        <w:pStyle w:val="ListBullet"/>
        <w:spacing w:after="60"/>
      </w:pPr>
      <w:r>
        <w:rPr>
          <w:rFonts w:ascii="Arial" w:hAnsi="Arial"/>
          <w:color w:val="1F2937"/>
        </w:rPr>
        <w:t>NASA POWER hourly solar and meteorological data: https://power.larc.nasa.gov/docs/services/api/temporal/hourly/</w:t>
      </w:r>
    </w:p>
    <w:sectPr w:rsidR="00FC693F" w:rsidRPr="0006063C" w:rsidSect="00034616">
      <w:headerReference w:type="default" r:id="rId9"/>
      <w:footerReference w:type="default" r:id="rId10"/>
      <w:pgSz w:w="11909" w:h="16834"/>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7488"/>
      <w:gridCol w:w="2160"/>
    </w:tblGrid>
    <w:tr>
      <w:tc>
        <w:tcPr>
          <w:tcW w:type="dxa" w:w="4824"/>
        </w:tcPr>
        <w:p>
          <w:pPr>
            <w:jc w:val="left"/>
          </w:pPr>
          <w:r>
            <w:rPr>
              <w:rFonts w:ascii="Arial" w:hAnsi="Arial"/>
              <w:color w:val="4B5563"/>
              <w:sz w:val="16"/>
            </w:rPr>
            <w:t>PARTICIPANT DOCUMENT  |  Rapid Forge Buildathon</w:t>
          </w:r>
        </w:p>
      </w:tc>
      <w:tc>
        <w:tcPr>
          <w:tcW w:type="dxa" w:w="4824"/>
        </w:tcPr>
        <w:p>
          <w:pPr>
            <w:jc w:val="right"/>
          </w:pPr>
          <w:r>
            <w:rPr>
              <w:rFonts w:ascii="Arial" w:hAnsi="Arial"/>
              <w:color w:val="4B5563"/>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66534"/>
        <w:sz w:val="16"/>
      </w:rPr>
      <w:t>RAPID FORGE  |  COOLSHIFT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4532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66534"/>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4532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80"/>
    </w:pPr>
    <w:rPr>
      <w:rFonts w:ascii="Arial" w:hAnsi="Arial"/>
      <w:b/>
      <w:color w:val="14532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CoolShift Technical and Data Specification</dc:title>
  <dc:subject>Rapid Forge Buildathon - CoolShift</dc:subject>
  <dc:creator>Rapid Forge Buildathon Organizing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