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49"/>
            <w:shd w:fill="166534"/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RAPID FORGE BUILDATHON</w:t>
            </w:r>
          </w:p>
        </w:tc>
      </w:tr>
    </w:tbl>
    <w:p/>
    <w:p>
      <w:pPr>
        <w:spacing w:after="140"/>
        <w:jc w:val="center"/>
      </w:pPr>
      <w:r>
        <w:rPr>
          <w:rFonts w:ascii="Arial" w:hAnsi="Arial"/>
          <w:b/>
          <w:color w:val="14532D"/>
          <w:sz w:val="60"/>
        </w:rPr>
        <w:t>COOLSHIFT</w:t>
      </w:r>
    </w:p>
    <w:p>
      <w:pPr>
        <w:jc w:val="center"/>
      </w:pPr>
      <w:r>
        <w:rPr>
          <w:rFonts w:ascii="Arial" w:hAnsi="Arial"/>
          <w:b/>
          <w:color w:val="F59E0B"/>
          <w:sz w:val="30"/>
        </w:rPr>
        <w:t>Submission, Testing and Evaluation Guide</w:t>
      </w:r>
    </w:p>
    <w:p>
      <w:pPr>
        <w:spacing w:before="320"/>
        <w:jc w:val="center"/>
      </w:pPr>
      <w:r>
        <w:rPr>
          <w:rFonts w:ascii="Arial" w:hAnsi="Arial"/>
          <w:b/>
          <w:color w:val="1F2937"/>
          <w:sz w:val="22"/>
        </w:rPr>
        <w:t>SDG 7: Affordable and Clean Energy  |  SDG 13: Climate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749"/>
            <w:shd w:fill="F0FDF4"/>
            <w:tcBorders>
              <w:top w:val="single" w:sz="10" w:color="166534"/>
              <w:left w:val="single" w:sz="10" w:color="166534"/>
              <w:bottom w:val="single" w:sz="10" w:color="166534"/>
              <w:right w:val="single" w:sz="10" w:color="16653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20"/>
              </w:rPr>
              <w:t>PARTICIPANT DOCUMENT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F2937"/>
          <w:sz w:val="24"/>
        </w:rPr>
        <w:t>48-Hour Product Development Challenge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guide explains what teams must submit, how solutions will be tested and how judges will distinguish a genuinely optimized system from a visually impressive but unverified prototype.</w:t>
      </w:r>
    </w:p>
    <w:p>
      <w:pPr>
        <w:pStyle w:val="Heading1"/>
      </w:pPr>
      <w:r>
        <w:t>2. Submission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3240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Path / item</w:t>
            </w:r>
          </w:p>
        </w:tc>
        <w:tc>
          <w:tcPr>
            <w:tcW w:type="dxa" w:w="6336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Required content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README.md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Product summary, team details, setup, credentials for judges and quick-start instructions.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/src</w:t>
            </w:r>
          </w:p>
        </w:tc>
        <w:tc>
          <w:tcPr>
            <w:tcW w:type="dxa" w:w="633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Source code or link to the repository.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/docs/architecture.pdf or image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Architecture and data-flow diagram.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/docs/method.md</w:t>
            </w:r>
          </w:p>
        </w:tc>
        <w:tc>
          <w:tcPr>
            <w:tcW w:type="dxa" w:w="633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Baseline formulas, thermal model, optimization method, constraints and assumptions.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/data/custom_scenario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Team-created seven-day scenario and provenance/generation note.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/outputs/public_results.csv or .xlsx</w:t>
            </w:r>
          </w:p>
        </w:tc>
        <w:tc>
          <w:tcPr>
            <w:tcW w:type="dxa" w:w="633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Required 2,688 or more interval output records.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/outputs/summary_results.csv or .xlsx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Daily and scenario summaries.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/tests</w:t>
            </w:r>
          </w:p>
        </w:tc>
        <w:tc>
          <w:tcPr>
            <w:tcW w:type="dxa" w:w="633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Automated tests, manual test cases or test evidence.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deployment link or build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Working application accessible to judges.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pitch deck</w:t>
            </w:r>
          </w:p>
        </w:tc>
        <w:tc>
          <w:tcPr>
            <w:tcW w:type="dxa" w:w="633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Concise presentation for the final pitch.</w:t>
            </w:r>
          </w:p>
        </w:tc>
      </w:tr>
    </w:tbl>
    <w:p>
      <w:pPr>
        <w:spacing w:after="0"/>
      </w:pPr>
    </w:p>
    <w:p>
      <w:pPr>
        <w:pStyle w:val="Heading1"/>
      </w:pPr>
      <w:r>
        <w:t>3. Required Output Volume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49"/>
            <w:shd w:fill="DCFCE7"/>
            <w:tcBorders>
              <w:top w:val="single" w:sz="8" w:color="166534"/>
              <w:left w:val="single" w:sz="8" w:color="166534"/>
              <w:bottom w:val="single" w:sz="8" w:color="166534"/>
              <w:right w:val="single" w:sz="8" w:color="166534"/>
            </w:tcBorders>
          </w:tcPr>
          <w:p>
            <w:r>
              <w:rPr>
                <w:rFonts w:ascii="Arial" w:hAnsi="Arial"/>
                <w:b/>
                <w:color w:val="14532D"/>
                <w:sz w:val="21"/>
              </w:rPr>
              <w:t>Minimum Submission</w:t>
              <w:br/>
            </w:r>
            <w:r>
              <w:rPr>
                <w:rFonts w:ascii="Arial" w:hAnsi="Arial"/>
                <w:color w:val="1F2937"/>
                <w:sz w:val="19"/>
              </w:rPr>
              <w:t>Seven days × 96 intervals × four scenarios = 2,688 optimized interval records, plus daily summaries and four overall scenario summaries.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3456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120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Required output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PUB-A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7 consecutive days / 672 rows</w:t>
            </w:r>
          </w:p>
        </w:tc>
      </w:tr>
      <w:tr>
        <w:trPr>
          <w:cantSplit/>
        </w:trPr>
        <w:tc>
          <w:tcPr>
            <w:tcW w:type="dxa" w:w="345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PUB-B</w:t>
            </w:r>
          </w:p>
        </w:tc>
        <w:tc>
          <w:tcPr>
            <w:tcW w:type="dxa" w:w="612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7 consecutive days / 672 rows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PUB-C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7 consecutive days / 672 rows</w:t>
            </w:r>
          </w:p>
        </w:tc>
      </w:tr>
      <w:tr>
        <w:trPr>
          <w:cantSplit/>
        </w:trPr>
        <w:tc>
          <w:tcPr>
            <w:tcW w:type="dxa" w:w="345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TEAM-CUSTOM</w:t>
            </w:r>
          </w:p>
        </w:tc>
        <w:tc>
          <w:tcPr>
            <w:tcW w:type="dxa" w:w="612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7 consecutive days / at least 672 rows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Total minimum</w:t>
            </w:r>
          </w:p>
        </w:tc>
        <w:tc>
          <w:tcPr>
            <w:tcW w:type="dxa" w:w="612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2,688 interval rows</w:t>
            </w:r>
          </w:p>
        </w:tc>
      </w:tr>
    </w:tbl>
    <w:p>
      <w:pPr>
        <w:spacing w:after="0"/>
      </w:pPr>
    </w:p>
    <w:p>
      <w:r>
        <w:t>The system must also be capable of processing the full 30-day public dataset. Judges may request a different seven-day window or a single day during evaluation.</w:t>
      </w:r>
    </w:p>
    <w:p>
      <w:pPr>
        <w:pStyle w:val="Heading1"/>
      </w:pPr>
      <w:r>
        <w:t>4. Public Testing Stages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592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6984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What is tested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Import test</w:t>
            </w:r>
          </w:p>
        </w:tc>
        <w:tc>
          <w:tcPr>
            <w:tcW w:type="dxa" w:w="698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All organizer files load successfully; timestamps, types, units and missing values are validated.</w:t>
            </w:r>
          </w:p>
        </w:tc>
      </w:tr>
      <w:tr>
        <w:trPr>
          <w:cantSplit/>
        </w:trPr>
        <w:tc>
          <w:tcPr>
            <w:tcW w:type="dxa" w:w="259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Baseline spot checks</w:t>
            </w:r>
          </w:p>
        </w:tc>
        <w:tc>
          <w:tcPr>
            <w:tcW w:type="dxa" w:w="698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Published validation cases match expected energy, cost, emissions and battery calculations.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Public scenario test</w:t>
            </w:r>
          </w:p>
        </w:tc>
        <w:tc>
          <w:tcPr>
            <w:tcW w:type="dxa" w:w="698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The system generates complete schedules for PUB-A, PUB-B and PUB-C.</w:t>
            </w:r>
          </w:p>
        </w:tc>
      </w:tr>
      <w:tr>
        <w:trPr>
          <w:cantSplit/>
        </w:trPr>
        <w:tc>
          <w:tcPr>
            <w:tcW w:type="dxa" w:w="259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Custom scenario test</w:t>
            </w:r>
          </w:p>
        </w:tc>
        <w:tc>
          <w:tcPr>
            <w:tcW w:type="dxa" w:w="698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The system accepts the team-created scenario without code changes.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Input-change test</w:t>
            </w:r>
          </w:p>
        </w:tc>
        <w:tc>
          <w:tcPr>
            <w:tcW w:type="dxa" w:w="698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Judges modify weather, tariff, outage, occupancy, comfort or battery values and results update.</w:t>
            </w:r>
          </w:p>
        </w:tc>
      </w:tr>
      <w:tr>
        <w:trPr>
          <w:cantSplit/>
        </w:trPr>
        <w:tc>
          <w:tcPr>
            <w:tcW w:type="dxa" w:w="259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Failure test</w:t>
            </w:r>
          </w:p>
        </w:tc>
        <w:tc>
          <w:tcPr>
            <w:tcW w:type="dxa" w:w="698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The system identifies missing inputs, impossible comfort targets or insufficient capacity.</w:t>
            </w:r>
          </w:p>
        </w:tc>
      </w:tr>
    </w:tbl>
    <w:p>
      <w:pPr>
        <w:spacing w:after="0"/>
      </w:pPr>
    </w:p>
    <w:p>
      <w:pPr>
        <w:pStyle w:val="Heading1"/>
      </w:pPr>
      <w:r>
        <w:t>5. Hidden Judge Testing</w:t>
      </w:r>
    </w:p>
    <w:p>
      <w:r>
        <w:t>The organizers will retain unseen test cases. Teams will receive the selected case during judging and must import or enter it using the same workflow used for public data.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1. </w:t>
      </w:r>
      <w:r>
        <w:rPr>
          <w:rFonts w:ascii="Arial" w:hAnsi="Arial"/>
          <w:color w:val="1F2937"/>
        </w:rPr>
        <w:t>The judge provides an unseen profile and 24-hour time series.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2. </w:t>
      </w:r>
      <w:r>
        <w:rPr>
          <w:rFonts w:ascii="Arial" w:hAnsi="Arial"/>
          <w:color w:val="1F2937"/>
        </w:rPr>
        <w:t>The team imports or enters the case without modifying source code.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3. </w:t>
      </w:r>
      <w:r>
        <w:rPr>
          <w:rFonts w:ascii="Arial" w:hAnsi="Arial"/>
          <w:color w:val="1F2937"/>
        </w:rPr>
        <w:t>The platform validates the data and generates 96 interval recommendations.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4. </w:t>
      </w:r>
      <w:r>
        <w:rPr>
          <w:rFonts w:ascii="Arial" w:hAnsi="Arial"/>
          <w:color w:val="1F2937"/>
        </w:rPr>
        <w:t>The team exports the output file.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5. </w:t>
      </w:r>
      <w:r>
        <w:rPr>
          <w:rFonts w:ascii="Arial" w:hAnsi="Arial"/>
          <w:color w:val="1F2937"/>
        </w:rPr>
        <w:t>Judges run automated or manual feasibility checks.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6. </w:t>
      </w:r>
      <w:r>
        <w:rPr>
          <w:rFonts w:ascii="Arial" w:hAnsi="Arial"/>
          <w:color w:val="1F2937"/>
        </w:rPr>
        <w:t>The team explains at least three major decisions and one trade-off.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49"/>
            <w:shd w:fill="DCFCE7"/>
            <w:tcBorders>
              <w:top w:val="single" w:sz="8" w:color="166534"/>
              <w:left w:val="single" w:sz="8" w:color="166534"/>
              <w:bottom w:val="single" w:sz="8" w:color="166534"/>
              <w:right w:val="single" w:sz="8" w:color="166534"/>
            </w:tcBorders>
          </w:tcPr>
          <w:p>
            <w:r>
              <w:rPr>
                <w:rFonts w:ascii="Arial" w:hAnsi="Arial"/>
                <w:b/>
                <w:color w:val="14532D"/>
                <w:sz w:val="21"/>
              </w:rPr>
              <w:t>Why Hidden Tests Are Necessary</w:t>
              <w:br/>
            </w:r>
            <w:r>
              <w:rPr>
                <w:rFonts w:ascii="Arial" w:hAnsi="Arial"/>
                <w:color w:val="1F2937"/>
                <w:sz w:val="19"/>
              </w:rPr>
              <w:t>Large output files do not prove optimization. Hidden cases prevent hard-coding and overfitting and show whether the system can generalize to new combinations of weather, occupancy, tariff, solar, battery and outages.</w:t>
            </w:r>
          </w:p>
        </w:tc>
      </w:tr>
    </w:tbl>
    <w:p>
      <w:pPr>
        <w:spacing w:after="0"/>
      </w:pPr>
    </w:p>
    <w:p>
      <w:pPr>
        <w:pStyle w:val="Heading1"/>
      </w:pPr>
      <w:r>
        <w:t>6. Acceptance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864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60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  <w:tc>
          <w:tcPr>
            <w:tcW w:type="dxa" w:w="1152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A1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Exactly one output record exists for every required 15-minute timestamp.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A2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No grid energy is used while grid_available = 0.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A3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Battery state of charge never exceeds capacity or falls below zero.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A4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Battery charge/discharge limits and reserve are respected.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A5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Appliance quantities and power limits are respected.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A6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Energy balance is valid within the declared numerical tolerance.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A7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Baseline and optimized results use identical external conditions.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A8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Comfort status is calculated for occupied intervals.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A9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Infeasible comfort is reported rather than hidden.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A10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Cost and emissions equal interval energy multiplied by the relevant tariff/factor within tolerance.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A11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Important input changes produce logically different results.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  <w:tr>
        <w:trPr>
          <w:cantSplit/>
        </w:trPr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A12</w:t>
            </w:r>
          </w:p>
        </w:tc>
        <w:tc>
          <w:tcPr>
            <w:tcW w:type="dxa" w:w="756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Outputs are reproducible or controlled by a disclosed seed.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Pass/Fail</w:t>
            </w:r>
          </w:p>
        </w:tc>
      </w:tr>
    </w:tbl>
    <w:p>
      <w:pPr>
        <w:spacing w:after="0"/>
      </w:pPr>
    </w:p>
    <w:p>
      <w:pPr>
        <w:pStyle w:val="Heading1"/>
      </w:pPr>
      <w:r>
        <w:t>7. Optimization Evaluation</w:t>
      </w:r>
    </w:p>
    <w:p>
      <w:r>
        <w:t>Judges will not require every team to produce exactly the same schedule. Different valid optimization methods can create different trade-offs. Evaluation therefore combines correctness, feasibility and relative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232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344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How it is evaluated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Feasibility first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 schedule with serious hard-constraint violations cannot be considered better merely because it reports larger savings.</w:t>
            </w:r>
          </w:p>
        </w:tc>
      </w:tr>
      <w:tr>
        <w:trPr>
          <w:cantSplit/>
        </w:trPr>
        <w:tc>
          <w:tcPr>
            <w:tcW w:type="dxa" w:w="223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Comfort and safety</w:t>
            </w:r>
          </w:p>
        </w:tc>
        <w:tc>
          <w:tcPr>
            <w:tcW w:type="dxa" w:w="734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Occupied-period comfort compliance and unsafe heat duration are examined.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Cost improvement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Optimized cost is compared with the supplied baseline under identical inputs.</w:t>
            </w:r>
          </w:p>
        </w:tc>
      </w:tr>
      <w:tr>
        <w:trPr>
          <w:cantSplit/>
        </w:trPr>
        <w:tc>
          <w:tcPr>
            <w:tcW w:type="dxa" w:w="223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Energy improvement</w:t>
            </w:r>
          </w:p>
        </w:tc>
        <w:tc>
          <w:tcPr>
            <w:tcW w:type="dxa" w:w="734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Total and peak-period grid energy are compared with baseline.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Climate improvement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Grid-related emissions and clean-energy utilization are compared with baseline.</w:t>
            </w:r>
          </w:p>
        </w:tc>
      </w:tr>
      <w:tr>
        <w:trPr>
          <w:cantSplit/>
        </w:trPr>
        <w:tc>
          <w:tcPr>
            <w:tcW w:type="dxa" w:w="223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Trade-off quality</w:t>
            </w:r>
          </w:p>
        </w:tc>
        <w:tc>
          <w:tcPr>
            <w:tcW w:type="dxa" w:w="734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Judges examine whether savings are achieved through intelligent scheduling rather than unacceptable discomfort.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Transparency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The team can explain assumptions, objective weights and major decisions.</w:t>
            </w:r>
          </w:p>
        </w:tc>
      </w:tr>
    </w:tbl>
    <w:p>
      <w:pPr>
        <w:spacing w:after="0"/>
      </w:pPr>
    </w:p>
    <w:p>
      <w:pPr>
        <w:pStyle w:val="Heading1"/>
      </w:pPr>
      <w:r>
        <w:t>8. No Artificial Savings Rule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Teams may not claim savings by changing the weather, occupancy, tariffs, carbon factors, installed appliances or baseline definition between comparisons.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Turning all cooling off is not an acceptable optimization when occupied comfort or safety is violated.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Unserved energy, unsafe periods and infeasible conditions must be displayed.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Negative energy, cost or emissions are invalid unless the system explicitly models export and the challenge configuration permits it.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Savings percentages must include denominator checks and clear handling of a zero baseline.</w:t>
      </w:r>
    </w:p>
    <w:p>
      <w:pPr>
        <w:pStyle w:val="Heading1"/>
      </w:pPr>
      <w:r>
        <w:t>9. Demonstration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6480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096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Recommended maximum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Problem and target user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1 minute</w:t>
            </w:r>
          </w:p>
        </w:tc>
      </w:tr>
      <w:tr>
        <w:trPr>
          <w:cantSplit/>
        </w:trPr>
        <w:tc>
          <w:tcPr>
            <w:tcW w:type="dxa" w:w="648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Architecture and data flow</w:t>
            </w:r>
          </w:p>
        </w:tc>
        <w:tc>
          <w:tcPr>
            <w:tcW w:type="dxa" w:w="309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1 minute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Public scenario live run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3 minutes</w:t>
            </w:r>
          </w:p>
        </w:tc>
      </w:tr>
      <w:tr>
        <w:trPr>
          <w:cantSplit/>
        </w:trPr>
        <w:tc>
          <w:tcPr>
            <w:tcW w:type="dxa" w:w="648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Dashboard and comparison</w:t>
            </w:r>
          </w:p>
        </w:tc>
        <w:tc>
          <w:tcPr>
            <w:tcW w:type="dxa" w:w="309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2 minutes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Custom scenario and data provenance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1 minute</w:t>
            </w:r>
          </w:p>
        </w:tc>
      </w:tr>
      <w:tr>
        <w:trPr>
          <w:cantSplit/>
        </w:trPr>
        <w:tc>
          <w:tcPr>
            <w:tcW w:type="dxa" w:w="648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Hidden input change or judge test</w:t>
            </w:r>
          </w:p>
        </w:tc>
        <w:tc>
          <w:tcPr>
            <w:tcW w:type="dxa" w:w="309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3 minutes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Impact, limitations and future plan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1 minute</w:t>
            </w:r>
          </w:p>
        </w:tc>
      </w:tr>
      <w:tr>
        <w:trPr>
          <w:cantSplit/>
        </w:trPr>
        <w:tc>
          <w:tcPr>
            <w:tcW w:type="dxa" w:w="648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Questions</w:t>
            </w:r>
          </w:p>
        </w:tc>
        <w:tc>
          <w:tcPr>
            <w:tcW w:type="dxa" w:w="3096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As directed by judges</w:t>
            </w:r>
          </w:p>
        </w:tc>
      </w:tr>
    </w:tbl>
    <w:p>
      <w:pPr>
        <w:spacing w:after="0"/>
      </w:pPr>
    </w:p>
    <w:p>
      <w:pPr>
        <w:pStyle w:val="Heading1"/>
      </w:pPr>
      <w:r>
        <w:t>10. Evidence Required During Demo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The data being imported or the API response used.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Validation result and any warnings.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Baseline calculation.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Optimized schedule containing 96 interval decisions for a selected day.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Baseline-versus-optimized summary.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At least one comfort/safety chart.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At least one energy-source or battery-state chart where applicable.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Reason/explanation for selected recommendations.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Exported output file.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Source-code repository and commit history.</w:t>
      </w:r>
    </w:p>
    <w:p>
      <w:pPr>
        <w:pStyle w:val="Heading1"/>
      </w:pPr>
      <w:r>
        <w:t>11. Scoring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40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64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Marks</w:t>
            </w:r>
          </w:p>
        </w:tc>
        <w:tc>
          <w:tcPr>
            <w:tcW w:type="dxa" w:w="5472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Mandatory workflow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End-to-end functional user journey and required modules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Correctness and data quality</w:t>
            </w:r>
          </w:p>
        </w:tc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  <w:tc>
          <w:tcPr>
            <w:tcW w:type="dxa" w:w="547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Validation cases, formulas, units, complete outputs and error handling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Optimization and constraints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Feasible schedules, objective design, hidden-case performance and trade-offs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SDG impact</w:t>
            </w:r>
          </w:p>
        </w:tc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10</w:t>
            </w:r>
          </w:p>
        </w:tc>
        <w:tc>
          <w:tcPr>
            <w:tcW w:type="dxa" w:w="547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Affordability, clean-energy use, energy savings and emissions reduction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Architecture and reliability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10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Backend, storage, integration, deployment and runtime stability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Innovation</w:t>
            </w:r>
          </w:p>
        </w:tc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10</w:t>
            </w:r>
          </w:p>
        </w:tc>
        <w:tc>
          <w:tcPr>
            <w:tcW w:type="dxa" w:w="547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Original and useful capability beyond the minimum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UX and explainability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10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Clarity, accessibility, recommendations and visual comparison</w:t>
            </w:r>
          </w:p>
        </w:tc>
      </w:tr>
      <w:tr>
        <w:trPr>
          <w:cantSplit/>
        </w:trPr>
        <w:tc>
          <w:tcPr>
            <w:tcW w:type="dxa" w:w="3240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Testing and documentation</w:t>
            </w:r>
          </w:p>
        </w:tc>
        <w:tc>
          <w:tcPr>
            <w:tcW w:type="dxa" w:w="86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5</w:t>
            </w:r>
          </w:p>
        </w:tc>
        <w:tc>
          <w:tcPr>
            <w:tcW w:type="dxa" w:w="547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Tests, assumptions, reproducibility and limitations</w:t>
            </w:r>
          </w:p>
        </w:tc>
      </w:tr>
      <w:tr>
        <w:trPr>
          <w:cantSplit/>
        </w:trPr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Pitch and demonstration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5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6"/>
              </w:rPr>
              <w:t>Communication, live operation and responses</w:t>
            </w:r>
          </w:p>
        </w:tc>
      </w:tr>
    </w:tbl>
    <w:p>
      <w:pPr>
        <w:spacing w:after="0"/>
      </w:pPr>
    </w:p>
    <w:p>
      <w:pPr>
        <w:pStyle w:val="Heading1"/>
      </w:pPr>
      <w:r>
        <w:t>12. Major Deductions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Hard-coded outputs or fixed savings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Missing source code or non-functional build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Failure to process unseen inputs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Undisclosed copied product or dataset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Falsified data or metrics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Silent hard-constraint violations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No baseline comparison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No custom scenario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Incomplete interval output</w:t>
      </w:r>
    </w:p>
    <w:p>
      <w:pPr>
        <w:pStyle w:val="ListBullet"/>
        <w:spacing w:after="60"/>
      </w:pPr>
      <w:r>
        <w:rPr>
          <w:rFonts w:ascii="Arial" w:hAnsi="Arial"/>
          <w:color w:val="1F2937"/>
        </w:rPr>
        <w:t>No explanation of assumptions</w:t>
      </w:r>
    </w:p>
    <w:p>
      <w:pPr>
        <w:pStyle w:val="Heading1"/>
      </w:pPr>
      <w:r>
        <w:t>13. Tie-Breaking Order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1. </w:t>
      </w:r>
      <w:r>
        <w:rPr>
          <w:rFonts w:ascii="Arial" w:hAnsi="Arial"/>
          <w:color w:val="1F2937"/>
        </w:rPr>
        <w:t>Higher hidden-test feasibility and correctness.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2. </w:t>
      </w:r>
      <w:r>
        <w:rPr>
          <w:rFonts w:ascii="Arial" w:hAnsi="Arial"/>
          <w:color w:val="1F2937"/>
        </w:rPr>
        <w:t>Better comfort-preserving cost and emission improvement.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3. </w:t>
      </w:r>
      <w:r>
        <w:rPr>
          <w:rFonts w:ascii="Arial" w:hAnsi="Arial"/>
          <w:color w:val="1F2937"/>
        </w:rPr>
        <w:t>Lower number and severity of warnings or constraint violations.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4. </w:t>
      </w:r>
      <w:r>
        <w:rPr>
          <w:rFonts w:ascii="Arial" w:hAnsi="Arial"/>
          <w:color w:val="1F2937"/>
        </w:rPr>
        <w:t>Stronger technical originality and explainability.</w:t>
      </w:r>
    </w:p>
    <w:p>
      <w:pPr>
        <w:spacing w:after="60"/>
        <w:ind w:left="259" w:hanging="259"/>
      </w:pPr>
      <w:r>
        <w:rPr>
          <w:rFonts w:ascii="Arial" w:hAnsi="Arial"/>
          <w:b/>
          <w:color w:val="1F2937"/>
        </w:rPr>
        <w:t xml:space="preserve">5. </w:t>
      </w:r>
      <w:r>
        <w:rPr>
          <w:rFonts w:ascii="Arial" w:hAnsi="Arial"/>
          <w:color w:val="1F2937"/>
        </w:rPr>
        <w:t>More reliable live demonstration.</w:t>
      </w:r>
    </w:p>
    <w:p>
      <w:pPr>
        <w:pStyle w:val="Heading1"/>
      </w:pPr>
      <w:r>
        <w:t>14. Final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8424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152"/>
            <w:shd w:fill="1665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Done</w:t>
            </w:r>
          </w:p>
        </w:tc>
      </w:tr>
      <w:tr>
        <w:trPr>
          <w:cantSplit/>
        </w:trPr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Application starts from clean instructions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Public workbook imports successfully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All 8,640 public input rows can be processed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At least 2,688 interval output rows are submitted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Custom scenario and provenance note are included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Baseline and optimized summaries are included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Hard constraints have been tested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Missing-data and infeasible-case handling are demonstrated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Repository, documentation and external resources are disclosed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8424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Pitch and live demonstration are ready</w:t>
            </w:r>
          </w:p>
        </w:tc>
        <w:tc>
          <w:tcPr>
            <w:tcW w:type="dxa" w:w="1152"/>
            <w:shd w:fill="F9FAFB"/>
            <w:vAlign w:val="top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7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7488"/>
      <w:gridCol w:w="2160"/>
    </w:tblGrid>
    <w:tr>
      <w:tc>
        <w:tcPr>
          <w:tcW w:type="dxa" w:w="4824"/>
        </w:tcPr>
        <w:p>
          <w:pPr>
            <w:jc w:val="left"/>
          </w:pPr>
          <w:r>
            <w:rPr>
              <w:rFonts w:ascii="Arial" w:hAnsi="Arial"/>
              <w:color w:val="4B5563"/>
              <w:sz w:val="16"/>
            </w:rPr>
            <w:t>PARTICIPANT DOCUMENT  |  Rapid Forge Buildathon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Arial" w:hAnsi="Arial"/>
              <w:color w:val="4B5563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66534"/>
        <w:sz w:val="16"/>
      </w:rPr>
      <w:t>RAPID FORGE  |  COOLSHIFT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5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</w:pPr>
    <w:rPr>
      <w:rFonts w:ascii="Arial" w:hAnsi="Arial"/>
      <w:b/>
      <w:color w:val="145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CoolShift Submission Testing and Evaluation Guide</dc:title>
  <dc:subject>Rapid Forge Buildathon - CoolShift</dc:subject>
  <dc:creator>Rapid Forge Buildathon Organizing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