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718B">
        <w:rPr>
          <w:rFonts w:ascii="Times New Roman" w:eastAsia="Times New Roman" w:hAnsi="Times New Roman" w:cs="Times New Roman"/>
          <w:b/>
          <w:bCs/>
          <w:sz w:val="36"/>
          <w:szCs w:val="36"/>
          <w:lang w:eastAsia="en-IN"/>
        </w:rPr>
        <w:fldChar w:fldCharType="begin"/>
      </w:r>
      <w:r w:rsidRPr="00F0718B">
        <w:rPr>
          <w:rFonts w:ascii="Times New Roman" w:eastAsia="Times New Roman" w:hAnsi="Times New Roman" w:cs="Times New Roman"/>
          <w:b/>
          <w:bCs/>
          <w:sz w:val="36"/>
          <w:szCs w:val="36"/>
          <w:lang w:eastAsia="en-IN"/>
        </w:rPr>
        <w:instrText xml:space="preserve"> HYPERLINK "https://www.triniti.com/general-ledgers-er-diagram" </w:instrText>
      </w:r>
      <w:r w:rsidRPr="00F0718B">
        <w:rPr>
          <w:rFonts w:ascii="Times New Roman" w:eastAsia="Times New Roman" w:hAnsi="Times New Roman" w:cs="Times New Roman"/>
          <w:b/>
          <w:bCs/>
          <w:sz w:val="36"/>
          <w:szCs w:val="36"/>
          <w:lang w:eastAsia="en-IN"/>
        </w:rPr>
        <w:fldChar w:fldCharType="separate"/>
      </w:r>
      <w:r w:rsidRPr="00F0718B">
        <w:rPr>
          <w:rFonts w:ascii="Times New Roman" w:eastAsia="Times New Roman" w:hAnsi="Times New Roman" w:cs="Times New Roman"/>
          <w:b/>
          <w:bCs/>
          <w:color w:val="0000FF"/>
          <w:sz w:val="36"/>
          <w:szCs w:val="36"/>
          <w:u w:val="single"/>
          <w:lang w:eastAsia="en-IN"/>
        </w:rPr>
        <w:t>General Ledgers ER Diagram</w:t>
      </w:r>
      <w:r w:rsidRPr="00F0718B">
        <w:rPr>
          <w:rFonts w:ascii="Times New Roman" w:eastAsia="Times New Roman" w:hAnsi="Times New Roman" w:cs="Times New Roman"/>
          <w:b/>
          <w:bCs/>
          <w:sz w:val="36"/>
          <w:szCs w:val="36"/>
          <w:lang w:eastAsia="en-IN"/>
        </w:rPr>
        <w:fldChar w:fldCharType="end"/>
      </w:r>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The below ER diagram illustrates the logical structure of various tables and their relationship in Oracle R12 General Ledger application. This ER diagram visualizes the data flow across different entities in General Ledger processes. It's an inclusive diagram and covers the critical components in Oracle General Ledger.</w:t>
      </w:r>
      <w:r w:rsidRPr="00F0718B">
        <w:rPr>
          <w:rFonts w:ascii="Times New Roman" w:eastAsia="Times New Roman" w:hAnsi="Times New Roman" w:cs="Times New Roman"/>
          <w:sz w:val="24"/>
          <w:szCs w:val="24"/>
          <w:lang w:eastAsia="en-IN"/>
        </w:rPr>
        <w:br/>
      </w:r>
      <w:r>
        <w:rPr>
          <w:rFonts w:ascii="Times New Roman" w:eastAsia="Times New Roman" w:hAnsi="Times New Roman" w:cs="Times New Roman"/>
          <w:noProof/>
          <w:color w:val="0000FF"/>
          <w:sz w:val="24"/>
          <w:szCs w:val="24"/>
          <w:lang w:eastAsia="en-IN"/>
        </w:rPr>
        <w:drawing>
          <wp:inline distT="0" distB="0" distL="0" distR="0">
            <wp:extent cx="21242655" cy="8509000"/>
            <wp:effectExtent l="0" t="0" r="0" b="6350"/>
            <wp:docPr id="14" name="Picture 14" descr="General Ledgers ER Diagram">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l Ledgers ER Diagram">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42655" cy="8509000"/>
                    </a:xfrm>
                    <a:prstGeom prst="rect">
                      <a:avLst/>
                    </a:prstGeom>
                    <a:noFill/>
                    <a:ln>
                      <a:noFill/>
                    </a:ln>
                  </pic:spPr>
                </pic:pic>
              </a:graphicData>
            </a:graphic>
          </wp:inline>
        </w:drawing>
      </w:r>
      <w:r w:rsidRPr="00F0718B">
        <w:rPr>
          <w:rFonts w:ascii="Times New Roman" w:eastAsia="Times New Roman" w:hAnsi="Times New Roman" w:cs="Times New Roman"/>
          <w:sz w:val="24"/>
          <w:szCs w:val="24"/>
          <w:lang w:eastAsia="en-IN"/>
        </w:rPr>
        <w:br/>
        <w:t> </w:t>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7" w:history="1">
        <w:r w:rsidRPr="00F0718B">
          <w:rPr>
            <w:rFonts w:ascii="Times New Roman" w:eastAsia="Times New Roman" w:hAnsi="Times New Roman" w:cs="Times New Roman"/>
            <w:b/>
            <w:bCs/>
            <w:color w:val="0000FF"/>
            <w:sz w:val="36"/>
            <w:szCs w:val="36"/>
            <w:u w:val="single"/>
            <w:lang w:eastAsia="en-IN"/>
          </w:rPr>
          <w:t>Credit Management ER Diagram</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Credit Management ER Diagram</w:t>
      </w:r>
      <w:r>
        <w:rPr>
          <w:rFonts w:ascii="Times New Roman" w:eastAsia="Times New Roman" w:hAnsi="Times New Roman" w:cs="Times New Roman"/>
          <w:noProof/>
          <w:color w:val="0000FF"/>
          <w:sz w:val="24"/>
          <w:szCs w:val="24"/>
          <w:lang w:eastAsia="en-IN"/>
        </w:rPr>
        <w:drawing>
          <wp:inline distT="0" distB="0" distL="0" distR="0">
            <wp:extent cx="11320145" cy="4843145"/>
            <wp:effectExtent l="0" t="0" r="0" b="0"/>
            <wp:docPr id="13" name="Picture 13" descr="https://www.triniti.com/sites/default/files/Credit-Management-ERD.jpg">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riniti.com/sites/default/files/Credit-Management-ERD.jpg">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20145" cy="4843145"/>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10" w:history="1">
        <w:r w:rsidRPr="00F0718B">
          <w:rPr>
            <w:rFonts w:ascii="Times New Roman" w:eastAsia="Times New Roman" w:hAnsi="Times New Roman" w:cs="Times New Roman"/>
            <w:b/>
            <w:bCs/>
            <w:color w:val="0000FF"/>
            <w:sz w:val="36"/>
            <w:szCs w:val="36"/>
            <w:u w:val="single"/>
            <w:lang w:eastAsia="en-IN"/>
          </w:rPr>
          <w:t>Oracle Install Base ER Diagram</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Oracle Install Base ER Diagram</w:t>
      </w:r>
      <w:r w:rsidRPr="00F0718B">
        <w:rPr>
          <w:rFonts w:ascii="Times New Roman" w:eastAsia="Times New Roman" w:hAnsi="Times New Roman" w:cs="Times New Roman"/>
          <w:sz w:val="24"/>
          <w:szCs w:val="24"/>
          <w:lang w:eastAsia="en-IN"/>
        </w:rPr>
        <w:br/>
      </w:r>
      <w:r>
        <w:rPr>
          <w:rFonts w:ascii="Times New Roman" w:eastAsia="Times New Roman" w:hAnsi="Times New Roman" w:cs="Times New Roman"/>
          <w:noProof/>
          <w:color w:val="0000FF"/>
          <w:sz w:val="24"/>
          <w:szCs w:val="24"/>
          <w:lang w:eastAsia="en-IN"/>
        </w:rPr>
        <w:drawing>
          <wp:inline distT="0" distB="0" distL="0" distR="0">
            <wp:extent cx="11430000" cy="13081000"/>
            <wp:effectExtent l="0" t="0" r="0" b="6350"/>
            <wp:docPr id="12" name="Picture 12" descr="Oracle Install Base ER Diagram">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cle Install Base ER Diagram">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0" cy="13081000"/>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13" w:history="1">
        <w:r w:rsidRPr="00F0718B">
          <w:rPr>
            <w:rFonts w:ascii="Times New Roman" w:eastAsia="Times New Roman" w:hAnsi="Times New Roman" w:cs="Times New Roman"/>
            <w:b/>
            <w:bCs/>
            <w:color w:val="0000FF"/>
            <w:sz w:val="36"/>
            <w:szCs w:val="36"/>
            <w:u w:val="single"/>
            <w:lang w:eastAsia="en-IN"/>
          </w:rPr>
          <w:t>Accounts Receivables ER Diagram</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Accounts Receivables ER Diagram illustrates the relationship between Receivables, SLA and General Ledger entities.</w:t>
      </w:r>
      <w:r w:rsidRPr="00F0718B">
        <w:rPr>
          <w:rFonts w:ascii="Times New Roman" w:eastAsia="Times New Roman" w:hAnsi="Times New Roman" w:cs="Times New Roman"/>
          <w:sz w:val="24"/>
          <w:szCs w:val="24"/>
          <w:lang w:eastAsia="en-IN"/>
        </w:rPr>
        <w:br/>
      </w:r>
      <w:r>
        <w:rPr>
          <w:rFonts w:ascii="Times New Roman" w:eastAsia="Times New Roman" w:hAnsi="Times New Roman" w:cs="Times New Roman"/>
          <w:noProof/>
          <w:color w:val="0000FF"/>
          <w:sz w:val="24"/>
          <w:szCs w:val="24"/>
          <w:lang w:eastAsia="en-IN"/>
        </w:rPr>
        <w:drawing>
          <wp:inline distT="0" distB="0" distL="0" distR="0">
            <wp:extent cx="12801600" cy="4783455"/>
            <wp:effectExtent l="0" t="0" r="0" b="0"/>
            <wp:docPr id="11" name="Picture 11" descr="Oracle EBS Accounts Receivables ER Diagram">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acle EBS Accounts Receivables ER Diagram">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801600" cy="4783455"/>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16" w:history="1">
        <w:r w:rsidRPr="00F0718B">
          <w:rPr>
            <w:rFonts w:ascii="Times New Roman" w:eastAsia="Times New Roman" w:hAnsi="Times New Roman" w:cs="Times New Roman"/>
            <w:b/>
            <w:bCs/>
            <w:color w:val="0000FF"/>
            <w:sz w:val="36"/>
            <w:szCs w:val="36"/>
            <w:u w:val="single"/>
            <w:lang w:eastAsia="en-IN"/>
          </w:rPr>
          <w:t>Accounts Payable ER Diagram</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 xml:space="preserve">Accounts Payable ER Diagram illustrates the relationship between Payables, SLA and General Ledger entities. </w:t>
      </w:r>
    </w:p>
    <w:p w:rsidR="00F0718B" w:rsidRPr="00F0718B" w:rsidRDefault="00F0718B" w:rsidP="00F0718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2750800" cy="5012055"/>
            <wp:effectExtent l="0" t="0" r="0" b="0"/>
            <wp:docPr id="10" name="Picture 10" descr="Account Payabl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count Payable ER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50800" cy="5012055"/>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18" w:history="1">
        <w:r w:rsidRPr="00F0718B">
          <w:rPr>
            <w:rFonts w:ascii="Times New Roman" w:eastAsia="Times New Roman" w:hAnsi="Times New Roman" w:cs="Times New Roman"/>
            <w:b/>
            <w:bCs/>
            <w:color w:val="0000FF"/>
            <w:sz w:val="36"/>
            <w:szCs w:val="36"/>
            <w:u w:val="single"/>
            <w:lang w:eastAsia="en-IN"/>
          </w:rPr>
          <w:t>Oracle Advanced Supply Chain Planning (ASCP) ER Diagram</w:t>
        </w:r>
      </w:hyperlink>
    </w:p>
    <w:p w:rsidR="00F0718B" w:rsidRPr="00F0718B" w:rsidRDefault="00F0718B" w:rsidP="00F0718B">
      <w:pPr>
        <w:spacing w:before="100" w:beforeAutospacing="1" w:after="100" w:afterAutospacing="1"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Most of you probably already know this.  </w:t>
      </w:r>
      <w:proofErr w:type="spellStart"/>
      <w:r w:rsidRPr="00F0718B">
        <w:rPr>
          <w:rFonts w:ascii="Times New Roman" w:eastAsia="Times New Roman" w:hAnsi="Times New Roman" w:cs="Times New Roman"/>
          <w:sz w:val="24"/>
          <w:szCs w:val="24"/>
          <w:lang w:eastAsia="en-IN"/>
        </w:rPr>
        <w:t>Plan_id</w:t>
      </w:r>
      <w:proofErr w:type="spellEnd"/>
      <w:r w:rsidRPr="00F0718B">
        <w:rPr>
          <w:rFonts w:ascii="Times New Roman" w:eastAsia="Times New Roman" w:hAnsi="Times New Roman" w:cs="Times New Roman"/>
          <w:sz w:val="24"/>
          <w:szCs w:val="24"/>
          <w:lang w:eastAsia="en-IN"/>
        </w:rPr>
        <w:t xml:space="preserve"> = -1 will be Operational Data Store (ODS collection data) &amp; </w:t>
      </w:r>
      <w:proofErr w:type="spellStart"/>
      <w:r w:rsidRPr="00F0718B">
        <w:rPr>
          <w:rFonts w:ascii="Times New Roman" w:eastAsia="Times New Roman" w:hAnsi="Times New Roman" w:cs="Times New Roman"/>
          <w:sz w:val="24"/>
          <w:szCs w:val="24"/>
          <w:lang w:eastAsia="en-IN"/>
        </w:rPr>
        <w:t>plan_id</w:t>
      </w:r>
      <w:proofErr w:type="spellEnd"/>
      <w:r w:rsidRPr="00F0718B">
        <w:rPr>
          <w:rFonts w:ascii="Times New Roman" w:eastAsia="Times New Roman" w:hAnsi="Times New Roman" w:cs="Times New Roman"/>
          <w:sz w:val="24"/>
          <w:szCs w:val="24"/>
          <w:lang w:eastAsia="en-IN"/>
        </w:rPr>
        <w:t xml:space="preserve"> &lt;&gt; -1 will be the Planning Data Store (PDS - plan output data). There are a few master data tables like </w:t>
      </w:r>
      <w:proofErr w:type="spellStart"/>
      <w:r w:rsidRPr="00F0718B">
        <w:rPr>
          <w:rFonts w:ascii="Times New Roman" w:eastAsia="Times New Roman" w:hAnsi="Times New Roman" w:cs="Times New Roman"/>
          <w:sz w:val="24"/>
          <w:szCs w:val="24"/>
          <w:lang w:eastAsia="en-IN"/>
        </w:rPr>
        <w:t>item_categories</w:t>
      </w:r>
      <w:proofErr w:type="spellEnd"/>
      <w:r w:rsidRPr="00F0718B">
        <w:rPr>
          <w:rFonts w:ascii="Times New Roman" w:eastAsia="Times New Roman" w:hAnsi="Times New Roman" w:cs="Times New Roman"/>
          <w:sz w:val="24"/>
          <w:szCs w:val="24"/>
          <w:lang w:eastAsia="en-IN"/>
        </w:rPr>
        <w:t xml:space="preserve">, </w:t>
      </w:r>
      <w:proofErr w:type="spellStart"/>
      <w:r w:rsidRPr="00F0718B">
        <w:rPr>
          <w:rFonts w:ascii="Times New Roman" w:eastAsia="Times New Roman" w:hAnsi="Times New Roman" w:cs="Times New Roman"/>
          <w:sz w:val="24"/>
          <w:szCs w:val="24"/>
          <w:lang w:eastAsia="en-IN"/>
        </w:rPr>
        <w:t>trading_partners</w:t>
      </w:r>
      <w:proofErr w:type="spellEnd"/>
      <w:r w:rsidRPr="00F0718B">
        <w:rPr>
          <w:rFonts w:ascii="Times New Roman" w:eastAsia="Times New Roman" w:hAnsi="Times New Roman" w:cs="Times New Roman"/>
          <w:sz w:val="24"/>
          <w:szCs w:val="24"/>
          <w:lang w:eastAsia="en-IN"/>
        </w:rPr>
        <w:t xml:space="preserve"> </w:t>
      </w:r>
      <w:proofErr w:type="spellStart"/>
      <w:r w:rsidRPr="00F0718B">
        <w:rPr>
          <w:rFonts w:ascii="Times New Roman" w:eastAsia="Times New Roman" w:hAnsi="Times New Roman" w:cs="Times New Roman"/>
          <w:sz w:val="24"/>
          <w:szCs w:val="24"/>
          <w:lang w:eastAsia="en-IN"/>
        </w:rPr>
        <w:t>etc</w:t>
      </w:r>
      <w:proofErr w:type="spellEnd"/>
      <w:r w:rsidRPr="00F0718B">
        <w:rPr>
          <w:rFonts w:ascii="Times New Roman" w:eastAsia="Times New Roman" w:hAnsi="Times New Roman" w:cs="Times New Roman"/>
          <w:sz w:val="24"/>
          <w:szCs w:val="24"/>
          <w:lang w:eastAsia="en-IN"/>
        </w:rPr>
        <w:t xml:space="preserve"> which do not have </w:t>
      </w:r>
      <w:proofErr w:type="spellStart"/>
      <w:r w:rsidRPr="00F0718B">
        <w:rPr>
          <w:rFonts w:ascii="Times New Roman" w:eastAsia="Times New Roman" w:hAnsi="Times New Roman" w:cs="Times New Roman"/>
          <w:sz w:val="24"/>
          <w:szCs w:val="24"/>
          <w:lang w:eastAsia="en-IN"/>
        </w:rPr>
        <w:t>plan_id</w:t>
      </w:r>
      <w:proofErr w:type="spellEnd"/>
      <w:r w:rsidRPr="00F0718B">
        <w:rPr>
          <w:rFonts w:ascii="Times New Roman" w:eastAsia="Times New Roman" w:hAnsi="Times New Roman" w:cs="Times New Roman"/>
          <w:sz w:val="24"/>
          <w:szCs w:val="24"/>
          <w:lang w:eastAsia="en-IN"/>
        </w:rPr>
        <w:t xml:space="preserve"> columns. This is because the plan does not alter them.  We have included them as well in the ER diagram.</w:t>
      </w:r>
    </w:p>
    <w:p w:rsidR="00F0718B" w:rsidRPr="00F0718B" w:rsidRDefault="00F0718B" w:rsidP="00F0718B">
      <w:pPr>
        <w:spacing w:before="100" w:beforeAutospacing="1" w:after="100" w:afterAutospacing="1"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Start with MSC_PLANS, which is the master table.</w:t>
      </w:r>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lang w:eastAsia="en-IN"/>
        </w:rPr>
        <w:drawing>
          <wp:inline distT="0" distB="0" distL="0" distR="0">
            <wp:extent cx="15773400" cy="11269345"/>
            <wp:effectExtent l="0" t="0" r="0" b="8255"/>
            <wp:docPr id="9" name="Picture 9" descr="Oracle Advanced Supply Chain Planning ER Diagram">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racle Advanced Supply Chain Planning ER Diagram">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73400" cy="11269345"/>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21" w:history="1">
        <w:r w:rsidRPr="00F0718B">
          <w:rPr>
            <w:rFonts w:ascii="Times New Roman" w:eastAsia="Times New Roman" w:hAnsi="Times New Roman" w:cs="Times New Roman"/>
            <w:b/>
            <w:bCs/>
            <w:color w:val="0000FF"/>
            <w:sz w:val="36"/>
            <w:szCs w:val="36"/>
            <w:u w:val="single"/>
            <w:lang w:eastAsia="en-IN"/>
          </w:rPr>
          <w:t>Oracle Order to Cash ER Diagram</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The Oracle R12 Order to Cash Module ER diagram shows all O2C tables that are used in Oracle R12 Order to Cash Cycle. </w:t>
      </w:r>
      <w:r w:rsidRPr="00F0718B">
        <w:rPr>
          <w:rFonts w:ascii="Times New Roman" w:eastAsia="Times New Roman" w:hAnsi="Times New Roman" w:cs="Times New Roman"/>
          <w:sz w:val="24"/>
          <w:szCs w:val="24"/>
          <w:lang w:eastAsia="en-IN"/>
        </w:rPr>
        <w:br/>
        <w:t xml:space="preserve">  </w:t>
      </w:r>
    </w:p>
    <w:p w:rsidR="00F0718B" w:rsidRPr="00F0718B" w:rsidRDefault="00F0718B" w:rsidP="00F0718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8576945" cy="7442200"/>
            <wp:effectExtent l="0" t="0" r="0" b="6350"/>
            <wp:docPr id="8" name="Picture 8" descr="Order to Cash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der to Cash ER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76945" cy="7442200"/>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23" w:history="1">
        <w:r w:rsidRPr="00F0718B">
          <w:rPr>
            <w:rFonts w:ascii="Times New Roman" w:eastAsia="Times New Roman" w:hAnsi="Times New Roman" w:cs="Times New Roman"/>
            <w:b/>
            <w:bCs/>
            <w:color w:val="0000FF"/>
            <w:sz w:val="36"/>
            <w:szCs w:val="36"/>
            <w:u w:val="single"/>
            <w:lang w:eastAsia="en-IN"/>
          </w:rPr>
          <w:t>Shop Floor Management ER Diagram</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proofErr w:type="spellStart"/>
      <w:r w:rsidRPr="00F0718B">
        <w:rPr>
          <w:rFonts w:ascii="Times New Roman" w:eastAsia="Times New Roman" w:hAnsi="Times New Roman" w:cs="Times New Roman"/>
          <w:sz w:val="24"/>
          <w:szCs w:val="24"/>
          <w:lang w:eastAsia="en-IN"/>
        </w:rPr>
        <w:t>Triniti</w:t>
      </w:r>
      <w:proofErr w:type="spellEnd"/>
      <w:r w:rsidRPr="00F0718B">
        <w:rPr>
          <w:rFonts w:ascii="Times New Roman" w:eastAsia="Times New Roman" w:hAnsi="Times New Roman" w:cs="Times New Roman"/>
          <w:sz w:val="24"/>
          <w:szCs w:val="24"/>
          <w:lang w:eastAsia="en-IN"/>
        </w:rPr>
        <w:t xml:space="preserve"> CEO </w:t>
      </w:r>
      <w:proofErr w:type="spellStart"/>
      <w:r w:rsidRPr="00F0718B">
        <w:rPr>
          <w:rFonts w:ascii="Times New Roman" w:eastAsia="Times New Roman" w:hAnsi="Times New Roman" w:cs="Times New Roman"/>
          <w:sz w:val="24"/>
          <w:szCs w:val="24"/>
          <w:lang w:eastAsia="en-IN"/>
        </w:rPr>
        <w:t>Srinath</w:t>
      </w:r>
      <w:proofErr w:type="spellEnd"/>
      <w:r w:rsidRPr="00F0718B">
        <w:rPr>
          <w:rFonts w:ascii="Times New Roman" w:eastAsia="Times New Roman" w:hAnsi="Times New Roman" w:cs="Times New Roman"/>
          <w:sz w:val="24"/>
          <w:szCs w:val="24"/>
          <w:lang w:eastAsia="en-IN"/>
        </w:rPr>
        <w:t xml:space="preserve"> </w:t>
      </w:r>
      <w:proofErr w:type="spellStart"/>
      <w:r w:rsidRPr="00F0718B">
        <w:rPr>
          <w:rFonts w:ascii="Times New Roman" w:eastAsia="Times New Roman" w:hAnsi="Times New Roman" w:cs="Times New Roman"/>
          <w:sz w:val="24"/>
          <w:szCs w:val="24"/>
          <w:lang w:eastAsia="en-IN"/>
        </w:rPr>
        <w:t>Alamela</w:t>
      </w:r>
      <w:proofErr w:type="spellEnd"/>
      <w:r w:rsidRPr="00F0718B">
        <w:rPr>
          <w:rFonts w:ascii="Times New Roman" w:eastAsia="Times New Roman" w:hAnsi="Times New Roman" w:cs="Times New Roman"/>
          <w:sz w:val="24"/>
          <w:szCs w:val="24"/>
          <w:lang w:eastAsia="en-IN"/>
        </w:rPr>
        <w:t xml:space="preserve"> architected Oracle Shop Floor Management (OSFM) in the late 90's as an extension to Oracle Discrete Work in </w:t>
      </w:r>
      <w:proofErr w:type="gramStart"/>
      <w:r w:rsidRPr="00F0718B">
        <w:rPr>
          <w:rFonts w:ascii="Times New Roman" w:eastAsia="Times New Roman" w:hAnsi="Times New Roman" w:cs="Times New Roman"/>
          <w:sz w:val="24"/>
          <w:szCs w:val="24"/>
          <w:lang w:eastAsia="en-IN"/>
        </w:rPr>
        <w:t>Process(</w:t>
      </w:r>
      <w:proofErr w:type="gramEnd"/>
      <w:r w:rsidRPr="00F0718B">
        <w:rPr>
          <w:rFonts w:ascii="Times New Roman" w:eastAsia="Times New Roman" w:hAnsi="Times New Roman" w:cs="Times New Roman"/>
          <w:sz w:val="24"/>
          <w:szCs w:val="24"/>
          <w:lang w:eastAsia="en-IN"/>
        </w:rPr>
        <w:t xml:space="preserve">WIP) module.  It was to facilitate Manufacturing Execution Systems (MES) such as </w:t>
      </w:r>
      <w:proofErr w:type="spellStart"/>
      <w:r w:rsidRPr="00F0718B">
        <w:rPr>
          <w:rFonts w:ascii="Times New Roman" w:eastAsia="Times New Roman" w:hAnsi="Times New Roman" w:cs="Times New Roman"/>
          <w:sz w:val="24"/>
          <w:szCs w:val="24"/>
          <w:lang w:eastAsia="en-IN"/>
        </w:rPr>
        <w:t>Workstream</w:t>
      </w:r>
      <w:proofErr w:type="spellEnd"/>
      <w:r w:rsidRPr="00F0718B">
        <w:rPr>
          <w:rFonts w:ascii="Times New Roman" w:eastAsia="Times New Roman" w:hAnsi="Times New Roman" w:cs="Times New Roman"/>
          <w:sz w:val="24"/>
          <w:szCs w:val="24"/>
          <w:lang w:eastAsia="en-IN"/>
        </w:rPr>
        <w:t xml:space="preserve">, PROMIS </w:t>
      </w:r>
      <w:proofErr w:type="spellStart"/>
      <w:r w:rsidRPr="00F0718B">
        <w:rPr>
          <w:rFonts w:ascii="Times New Roman" w:eastAsia="Times New Roman" w:hAnsi="Times New Roman" w:cs="Times New Roman"/>
          <w:sz w:val="24"/>
          <w:szCs w:val="24"/>
          <w:lang w:eastAsia="en-IN"/>
        </w:rPr>
        <w:t>etc</w:t>
      </w:r>
      <w:proofErr w:type="spellEnd"/>
      <w:r w:rsidRPr="00F0718B">
        <w:rPr>
          <w:rFonts w:ascii="Times New Roman" w:eastAsia="Times New Roman" w:hAnsi="Times New Roman" w:cs="Times New Roman"/>
          <w:sz w:val="24"/>
          <w:szCs w:val="24"/>
          <w:lang w:eastAsia="en-IN"/>
        </w:rPr>
        <w:t xml:space="preserve"> to be integrated into Oracle at a Lot transaction level.   Oracle WIP tracking could not handle complex transactions such as </w:t>
      </w:r>
      <w:proofErr w:type="gramStart"/>
      <w:r w:rsidRPr="00F0718B">
        <w:rPr>
          <w:rFonts w:ascii="Times New Roman" w:eastAsia="Times New Roman" w:hAnsi="Times New Roman" w:cs="Times New Roman"/>
          <w:sz w:val="24"/>
          <w:szCs w:val="24"/>
          <w:lang w:eastAsia="en-IN"/>
        </w:rPr>
        <w:t>splits,</w:t>
      </w:r>
      <w:proofErr w:type="gramEnd"/>
      <w:r w:rsidRPr="00F0718B">
        <w:rPr>
          <w:rFonts w:ascii="Times New Roman" w:eastAsia="Times New Roman" w:hAnsi="Times New Roman" w:cs="Times New Roman"/>
          <w:sz w:val="24"/>
          <w:szCs w:val="24"/>
          <w:lang w:eastAsia="en-IN"/>
        </w:rPr>
        <w:t xml:space="preserve"> merges prior to OSFM.</w:t>
      </w:r>
      <w:r w:rsidRPr="00F0718B">
        <w:rPr>
          <w:rFonts w:ascii="Times New Roman" w:eastAsia="Times New Roman" w:hAnsi="Times New Roman" w:cs="Times New Roman"/>
          <w:sz w:val="24"/>
          <w:szCs w:val="24"/>
          <w:lang w:eastAsia="en-IN"/>
        </w:rPr>
        <w:br/>
      </w:r>
      <w:r w:rsidRPr="00F0718B">
        <w:rPr>
          <w:rFonts w:ascii="Times New Roman" w:eastAsia="Times New Roman" w:hAnsi="Times New Roman" w:cs="Times New Roman"/>
          <w:sz w:val="24"/>
          <w:szCs w:val="24"/>
          <w:lang w:eastAsia="en-IN"/>
        </w:rPr>
        <w:br/>
        <w:t>Attached is the ER Diagram for this module.  It can also be used for Oracle Discrete WIP.  Tables with prefix WSM are OSFM specific.</w:t>
      </w:r>
      <w:r w:rsidRPr="00F0718B">
        <w:rPr>
          <w:rFonts w:ascii="Times New Roman" w:eastAsia="Times New Roman" w:hAnsi="Times New Roman" w:cs="Times New Roman"/>
          <w:sz w:val="24"/>
          <w:szCs w:val="24"/>
          <w:lang w:eastAsia="en-IN"/>
        </w:rPr>
        <w:br/>
      </w:r>
      <w:r>
        <w:rPr>
          <w:rFonts w:ascii="Times New Roman" w:eastAsia="Times New Roman" w:hAnsi="Times New Roman" w:cs="Times New Roman"/>
          <w:noProof/>
          <w:sz w:val="24"/>
          <w:szCs w:val="24"/>
          <w:lang w:eastAsia="en-IN"/>
        </w:rPr>
        <w:drawing>
          <wp:inline distT="0" distB="0" distL="0" distR="0">
            <wp:extent cx="9415145" cy="8745855"/>
            <wp:effectExtent l="0" t="0" r="0" b="0"/>
            <wp:docPr id="7" name="Picture 7" descr="Oracle Shop Floor Management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racle Shop Floor Management ER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415145" cy="8745855"/>
                    </a:xfrm>
                    <a:prstGeom prst="rect">
                      <a:avLst/>
                    </a:prstGeom>
                    <a:noFill/>
                    <a:ln>
                      <a:noFill/>
                    </a:ln>
                  </pic:spPr>
                </pic:pic>
              </a:graphicData>
            </a:graphic>
          </wp:inline>
        </w:drawing>
      </w:r>
      <w:r w:rsidRPr="00F0718B">
        <w:rPr>
          <w:rFonts w:ascii="Times New Roman" w:eastAsia="Times New Roman" w:hAnsi="Times New Roman" w:cs="Times New Roman"/>
          <w:sz w:val="24"/>
          <w:szCs w:val="24"/>
          <w:lang w:eastAsia="en-IN"/>
        </w:rPr>
        <w:t> </w:t>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25" w:history="1">
        <w:r w:rsidRPr="00F0718B">
          <w:rPr>
            <w:rFonts w:ascii="Times New Roman" w:eastAsia="Times New Roman" w:hAnsi="Times New Roman" w:cs="Times New Roman"/>
            <w:b/>
            <w:bCs/>
            <w:color w:val="0000FF"/>
            <w:sz w:val="36"/>
            <w:szCs w:val="36"/>
            <w:u w:val="single"/>
            <w:lang w:eastAsia="en-IN"/>
          </w:rPr>
          <w:t>BOM and Routing ER Diagrams</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 xml:space="preserve">The Oracle R12 Bill Of Materials and Routing ER diagram shows all BOM and </w:t>
      </w:r>
      <w:proofErr w:type="gramStart"/>
      <w:r w:rsidRPr="00F0718B">
        <w:rPr>
          <w:rFonts w:ascii="Times New Roman" w:eastAsia="Times New Roman" w:hAnsi="Times New Roman" w:cs="Times New Roman"/>
          <w:sz w:val="24"/>
          <w:szCs w:val="24"/>
          <w:lang w:eastAsia="en-IN"/>
        </w:rPr>
        <w:t>Routing  tables</w:t>
      </w:r>
      <w:proofErr w:type="gramEnd"/>
      <w:r w:rsidRPr="00F0718B">
        <w:rPr>
          <w:rFonts w:ascii="Times New Roman" w:eastAsia="Times New Roman" w:hAnsi="Times New Roman" w:cs="Times New Roman"/>
          <w:sz w:val="24"/>
          <w:szCs w:val="24"/>
          <w:lang w:eastAsia="en-IN"/>
        </w:rPr>
        <w:t xml:space="preserve"> that are used in Oracle R12 Shop Floor Management.</w:t>
      </w:r>
      <w:r w:rsidRPr="00F0718B">
        <w:rPr>
          <w:rFonts w:ascii="Times New Roman" w:eastAsia="Times New Roman" w:hAnsi="Times New Roman" w:cs="Times New Roman"/>
          <w:sz w:val="24"/>
          <w:szCs w:val="24"/>
          <w:lang w:eastAsia="en-IN"/>
        </w:rPr>
        <w:br/>
        <w:t> </w:t>
      </w:r>
      <w:r w:rsidRPr="00F0718B">
        <w:rPr>
          <w:rFonts w:ascii="Times New Roman" w:eastAsia="Times New Roman" w:hAnsi="Times New Roman" w:cs="Times New Roman"/>
          <w:sz w:val="24"/>
          <w:szCs w:val="24"/>
          <w:lang w:eastAsia="en-IN"/>
        </w:rPr>
        <w:br/>
        <w:t xml:space="preserve">The Entity Relationship Diagram (ERD) reflects Oracle R12 BOM and Routing Table wise Data Model which illustrates the relation between each table primary key and Reference Table foreign key. </w:t>
      </w:r>
    </w:p>
    <w:p w:rsidR="00F0718B" w:rsidRPr="00F0718B" w:rsidRDefault="00F0718B" w:rsidP="00F0718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18B">
        <w:rPr>
          <w:rFonts w:ascii="Times New Roman" w:eastAsia="Times New Roman" w:hAnsi="Times New Roman" w:cs="Times New Roman"/>
          <w:b/>
          <w:bCs/>
          <w:sz w:val="27"/>
          <w:szCs w:val="27"/>
          <w:lang w:eastAsia="en-IN"/>
        </w:rPr>
        <w:t>Bill of Materials ER Diagram</w:t>
      </w:r>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0507345" cy="4453255"/>
            <wp:effectExtent l="0" t="0" r="8255" b="4445"/>
            <wp:docPr id="6" name="Picture 6" descr="Bill of Materials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ll of Materials ER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507345" cy="4453255"/>
                    </a:xfrm>
                    <a:prstGeom prst="rect">
                      <a:avLst/>
                    </a:prstGeom>
                    <a:noFill/>
                    <a:ln>
                      <a:noFill/>
                    </a:ln>
                  </pic:spPr>
                </pic:pic>
              </a:graphicData>
            </a:graphic>
          </wp:inline>
        </w:drawing>
      </w:r>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 xml:space="preserve">If you are an Arena PLM and Oracle </w:t>
      </w:r>
      <w:proofErr w:type="spellStart"/>
      <w:r w:rsidRPr="00F0718B">
        <w:rPr>
          <w:rFonts w:ascii="Times New Roman" w:eastAsia="Times New Roman" w:hAnsi="Times New Roman" w:cs="Times New Roman"/>
          <w:sz w:val="24"/>
          <w:szCs w:val="24"/>
          <w:lang w:eastAsia="en-IN"/>
        </w:rPr>
        <w:t>eBusiness</w:t>
      </w:r>
      <w:proofErr w:type="spellEnd"/>
      <w:r w:rsidRPr="00F0718B">
        <w:rPr>
          <w:rFonts w:ascii="Times New Roman" w:eastAsia="Times New Roman" w:hAnsi="Times New Roman" w:cs="Times New Roman"/>
          <w:sz w:val="24"/>
          <w:szCs w:val="24"/>
          <w:lang w:eastAsia="en-IN"/>
        </w:rPr>
        <w:t xml:space="preserve"> Suite user and are struggling to keep the data synchronized, then the </w:t>
      </w:r>
      <w:proofErr w:type="spellStart"/>
      <w:r w:rsidRPr="00F0718B">
        <w:rPr>
          <w:rFonts w:ascii="Times New Roman" w:eastAsia="Times New Roman" w:hAnsi="Times New Roman" w:cs="Times New Roman"/>
          <w:sz w:val="24"/>
          <w:szCs w:val="24"/>
          <w:lang w:eastAsia="en-IN"/>
        </w:rPr>
        <w:t>Triniti</w:t>
      </w:r>
      <w:proofErr w:type="spellEnd"/>
      <w:r w:rsidRPr="00F0718B">
        <w:rPr>
          <w:rFonts w:ascii="Times New Roman" w:eastAsia="Times New Roman" w:hAnsi="Times New Roman" w:cs="Times New Roman"/>
          <w:sz w:val="24"/>
          <w:szCs w:val="24"/>
          <w:lang w:eastAsia="en-IN"/>
        </w:rPr>
        <w:t xml:space="preserve"> Arena Oracle Adapter is the ideal solution for you. </w:t>
      </w:r>
      <w:proofErr w:type="spellStart"/>
      <w:r w:rsidRPr="00F0718B">
        <w:rPr>
          <w:rFonts w:ascii="Times New Roman" w:eastAsia="Times New Roman" w:hAnsi="Times New Roman" w:cs="Times New Roman"/>
          <w:sz w:val="24"/>
          <w:szCs w:val="24"/>
          <w:lang w:eastAsia="en-IN"/>
        </w:rPr>
        <w:t>Triniti</w:t>
      </w:r>
      <w:proofErr w:type="spellEnd"/>
      <w:r w:rsidRPr="00F0718B">
        <w:rPr>
          <w:rFonts w:ascii="Times New Roman" w:eastAsia="Times New Roman" w:hAnsi="Times New Roman" w:cs="Times New Roman"/>
          <w:sz w:val="24"/>
          <w:szCs w:val="24"/>
          <w:lang w:eastAsia="en-IN"/>
        </w:rPr>
        <w:t xml:space="preserve"> leverages its pioneering Application Data Management expertise and facilitates </w:t>
      </w:r>
      <w:proofErr w:type="gramStart"/>
      <w:r w:rsidRPr="00F0718B">
        <w:rPr>
          <w:rFonts w:ascii="Times New Roman" w:eastAsia="Times New Roman" w:hAnsi="Times New Roman" w:cs="Times New Roman"/>
          <w:sz w:val="24"/>
          <w:szCs w:val="24"/>
          <w:lang w:eastAsia="en-IN"/>
        </w:rPr>
        <w:t>out-of-the-box 100% integration in real time</w:t>
      </w:r>
      <w:proofErr w:type="gramEnd"/>
      <w:r w:rsidRPr="00F0718B">
        <w:rPr>
          <w:rFonts w:ascii="Times New Roman" w:eastAsia="Times New Roman" w:hAnsi="Times New Roman" w:cs="Times New Roman"/>
          <w:sz w:val="24"/>
          <w:szCs w:val="24"/>
          <w:lang w:eastAsia="en-IN"/>
        </w:rPr>
        <w:t xml:space="preserve">. Play the video to know about </w:t>
      </w:r>
      <w:proofErr w:type="spellStart"/>
      <w:r w:rsidRPr="00F0718B">
        <w:rPr>
          <w:rFonts w:ascii="Times New Roman" w:eastAsia="Times New Roman" w:hAnsi="Times New Roman" w:cs="Times New Roman"/>
          <w:sz w:val="24"/>
          <w:szCs w:val="24"/>
          <w:lang w:eastAsia="en-IN"/>
        </w:rPr>
        <w:t>Triniti</w:t>
      </w:r>
      <w:proofErr w:type="spellEnd"/>
      <w:r w:rsidRPr="00F0718B">
        <w:rPr>
          <w:rFonts w:ascii="Times New Roman" w:eastAsia="Times New Roman" w:hAnsi="Times New Roman" w:cs="Times New Roman"/>
          <w:sz w:val="24"/>
          <w:szCs w:val="24"/>
          <w:lang w:eastAsia="en-IN"/>
        </w:rPr>
        <w:t xml:space="preserve"> Arena Oracle Adapter. To know more about </w:t>
      </w:r>
      <w:proofErr w:type="spellStart"/>
      <w:r w:rsidRPr="00F0718B">
        <w:rPr>
          <w:rFonts w:ascii="Times New Roman" w:eastAsia="Times New Roman" w:hAnsi="Times New Roman" w:cs="Times New Roman"/>
          <w:sz w:val="24"/>
          <w:szCs w:val="24"/>
          <w:lang w:eastAsia="en-IN"/>
        </w:rPr>
        <w:t>Triniti</w:t>
      </w:r>
      <w:proofErr w:type="spellEnd"/>
      <w:r w:rsidRPr="00F0718B">
        <w:rPr>
          <w:rFonts w:ascii="Times New Roman" w:eastAsia="Times New Roman" w:hAnsi="Times New Roman" w:cs="Times New Roman"/>
          <w:sz w:val="24"/>
          <w:szCs w:val="24"/>
          <w:lang w:eastAsia="en-IN"/>
        </w:rPr>
        <w:t xml:space="preserve"> Arena Oracle Adapter </w:t>
      </w:r>
      <w:hyperlink r:id="rId27" w:anchor="arena-oracle-adapter" w:history="1">
        <w:r w:rsidRPr="00F0718B">
          <w:rPr>
            <w:rFonts w:ascii="Times New Roman" w:eastAsia="Times New Roman" w:hAnsi="Times New Roman" w:cs="Times New Roman"/>
            <w:color w:val="0000FF"/>
            <w:sz w:val="24"/>
            <w:szCs w:val="24"/>
            <w:u w:val="single"/>
            <w:lang w:eastAsia="en-IN"/>
          </w:rPr>
          <w:t>click here</w:t>
        </w:r>
      </w:hyperlink>
      <w:r w:rsidRPr="00F0718B">
        <w:rPr>
          <w:rFonts w:ascii="Times New Roman" w:eastAsia="Times New Roman" w:hAnsi="Times New Roman" w:cs="Times New Roman"/>
          <w:sz w:val="24"/>
          <w:szCs w:val="24"/>
          <w:lang w:eastAsia="en-IN"/>
        </w:rPr>
        <w:t>.</w:t>
      </w:r>
    </w:p>
    <w:p w:rsidR="00F0718B" w:rsidRPr="00F0718B" w:rsidRDefault="00F0718B" w:rsidP="00F0718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18B">
        <w:rPr>
          <w:rFonts w:ascii="Times New Roman" w:eastAsia="Times New Roman" w:hAnsi="Times New Roman" w:cs="Times New Roman"/>
          <w:b/>
          <w:bCs/>
          <w:sz w:val="27"/>
          <w:szCs w:val="27"/>
          <w:lang w:eastAsia="en-IN"/>
        </w:rPr>
        <w:t>Routing ER Diagram</w:t>
      </w:r>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0761345" cy="4656455"/>
            <wp:effectExtent l="0" t="0" r="1905" b="0"/>
            <wp:docPr id="5" name="Picture 5" descr="Routing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outing ER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761345" cy="4656455"/>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29" w:history="1">
        <w:r w:rsidRPr="00F0718B">
          <w:rPr>
            <w:rFonts w:ascii="Times New Roman" w:eastAsia="Times New Roman" w:hAnsi="Times New Roman" w:cs="Times New Roman"/>
            <w:b/>
            <w:bCs/>
            <w:color w:val="0000FF"/>
            <w:sz w:val="36"/>
            <w:szCs w:val="36"/>
            <w:u w:val="single"/>
            <w:lang w:eastAsia="en-IN"/>
          </w:rPr>
          <w:t>Purchasing ER Diagram</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 xml:space="preserve">The Oracle R12 Purchasing Module ER Diagram shows all Purchasing and Receiving tables that are used in </w:t>
      </w:r>
      <w:proofErr w:type="spellStart"/>
      <w:r w:rsidRPr="00F0718B">
        <w:rPr>
          <w:rFonts w:ascii="Times New Roman" w:eastAsia="Times New Roman" w:hAnsi="Times New Roman" w:cs="Times New Roman"/>
          <w:sz w:val="24"/>
          <w:szCs w:val="24"/>
          <w:lang w:eastAsia="en-IN"/>
        </w:rPr>
        <w:t>Oracel</w:t>
      </w:r>
      <w:proofErr w:type="spellEnd"/>
      <w:r w:rsidRPr="00F0718B">
        <w:rPr>
          <w:rFonts w:ascii="Times New Roman" w:eastAsia="Times New Roman" w:hAnsi="Times New Roman" w:cs="Times New Roman"/>
          <w:sz w:val="24"/>
          <w:szCs w:val="24"/>
          <w:lang w:eastAsia="en-IN"/>
        </w:rPr>
        <w:t xml:space="preserve"> R12 PO Module. The Entity Relationship Diagram (ERD) reflects </w:t>
      </w:r>
      <w:proofErr w:type="spellStart"/>
      <w:r w:rsidRPr="00F0718B">
        <w:rPr>
          <w:rFonts w:ascii="Times New Roman" w:eastAsia="Times New Roman" w:hAnsi="Times New Roman" w:cs="Times New Roman"/>
          <w:sz w:val="24"/>
          <w:szCs w:val="24"/>
          <w:lang w:eastAsia="en-IN"/>
        </w:rPr>
        <w:t>Oracel</w:t>
      </w:r>
      <w:proofErr w:type="spellEnd"/>
      <w:r w:rsidRPr="00F0718B">
        <w:rPr>
          <w:rFonts w:ascii="Times New Roman" w:eastAsia="Times New Roman" w:hAnsi="Times New Roman" w:cs="Times New Roman"/>
          <w:sz w:val="24"/>
          <w:szCs w:val="24"/>
          <w:lang w:eastAsia="en-IN"/>
        </w:rPr>
        <w:t xml:space="preserve"> R12 PO Table wise Data Model which illustrates the relation between each table primary and reference table </w:t>
      </w:r>
      <w:proofErr w:type="spellStart"/>
      <w:r w:rsidRPr="00F0718B">
        <w:rPr>
          <w:rFonts w:ascii="Times New Roman" w:eastAsia="Times New Roman" w:hAnsi="Times New Roman" w:cs="Times New Roman"/>
          <w:sz w:val="24"/>
          <w:szCs w:val="24"/>
          <w:lang w:eastAsia="en-IN"/>
        </w:rPr>
        <w:t>freign</w:t>
      </w:r>
      <w:proofErr w:type="spellEnd"/>
      <w:r w:rsidRPr="00F0718B">
        <w:rPr>
          <w:rFonts w:ascii="Times New Roman" w:eastAsia="Times New Roman" w:hAnsi="Times New Roman" w:cs="Times New Roman"/>
          <w:sz w:val="24"/>
          <w:szCs w:val="24"/>
          <w:lang w:eastAsia="en-IN"/>
        </w:rPr>
        <w:t xml:space="preserve"> key.</w:t>
      </w:r>
      <w:r w:rsidRPr="00F0718B">
        <w:rPr>
          <w:rFonts w:ascii="Times New Roman" w:eastAsia="Times New Roman" w:hAnsi="Times New Roman" w:cs="Times New Roman"/>
          <w:sz w:val="24"/>
          <w:szCs w:val="24"/>
          <w:lang w:eastAsia="en-IN"/>
        </w:rPr>
        <w:br/>
      </w:r>
      <w:r>
        <w:rPr>
          <w:rFonts w:ascii="Times New Roman" w:eastAsia="Times New Roman" w:hAnsi="Times New Roman" w:cs="Times New Roman"/>
          <w:noProof/>
          <w:sz w:val="24"/>
          <w:szCs w:val="24"/>
          <w:lang w:eastAsia="en-IN"/>
        </w:rPr>
        <w:drawing>
          <wp:inline distT="0" distB="0" distL="0" distR="0">
            <wp:extent cx="10820400" cy="4716145"/>
            <wp:effectExtent l="0" t="0" r="0" b="8255"/>
            <wp:docPr id="4" name="Picture 4" descr="Purchasing Module ER diagram shows all Purchasing and Receiving  tables that are used in Oracle R12 PO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urchasing Module ER diagram shows all Purchasing and Receiving  tables that are used in Oracle R12 PO Modu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20400" cy="4716145"/>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31" w:history="1">
        <w:r w:rsidRPr="00F0718B">
          <w:rPr>
            <w:rFonts w:ascii="Times New Roman" w:eastAsia="Times New Roman" w:hAnsi="Times New Roman" w:cs="Times New Roman"/>
            <w:b/>
            <w:bCs/>
            <w:color w:val="0000FF"/>
            <w:sz w:val="36"/>
            <w:szCs w:val="36"/>
            <w:u w:val="single"/>
            <w:lang w:eastAsia="en-IN"/>
          </w:rPr>
          <w:t xml:space="preserve">Oracle R12 </w:t>
        </w:r>
        <w:proofErr w:type="spellStart"/>
        <w:r w:rsidRPr="00F0718B">
          <w:rPr>
            <w:rFonts w:ascii="Times New Roman" w:eastAsia="Times New Roman" w:hAnsi="Times New Roman" w:cs="Times New Roman"/>
            <w:b/>
            <w:bCs/>
            <w:color w:val="0000FF"/>
            <w:sz w:val="36"/>
            <w:szCs w:val="36"/>
            <w:u w:val="single"/>
            <w:lang w:eastAsia="en-IN"/>
          </w:rPr>
          <w:t>eBTax</w:t>
        </w:r>
        <w:proofErr w:type="spellEnd"/>
        <w:r w:rsidRPr="00F0718B">
          <w:rPr>
            <w:rFonts w:ascii="Times New Roman" w:eastAsia="Times New Roman" w:hAnsi="Times New Roman" w:cs="Times New Roman"/>
            <w:b/>
            <w:bCs/>
            <w:color w:val="0000FF"/>
            <w:sz w:val="36"/>
            <w:szCs w:val="36"/>
            <w:u w:val="single"/>
            <w:lang w:eastAsia="en-IN"/>
          </w:rPr>
          <w:t xml:space="preserve"> ER Diagram</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 xml:space="preserve">Oracle R12 </w:t>
      </w:r>
      <w:proofErr w:type="spellStart"/>
      <w:r w:rsidRPr="00F0718B">
        <w:rPr>
          <w:rFonts w:ascii="Times New Roman" w:eastAsia="Times New Roman" w:hAnsi="Times New Roman" w:cs="Times New Roman"/>
          <w:sz w:val="24"/>
          <w:szCs w:val="24"/>
          <w:lang w:eastAsia="en-IN"/>
        </w:rPr>
        <w:t>eBTax</w:t>
      </w:r>
      <w:proofErr w:type="spellEnd"/>
      <w:r w:rsidRPr="00F0718B">
        <w:rPr>
          <w:rFonts w:ascii="Times New Roman" w:eastAsia="Times New Roman" w:hAnsi="Times New Roman" w:cs="Times New Roman"/>
          <w:sz w:val="24"/>
          <w:szCs w:val="24"/>
          <w:lang w:eastAsia="en-IN"/>
        </w:rPr>
        <w:t xml:space="preserve"> ER diagram shows all </w:t>
      </w:r>
      <w:proofErr w:type="spellStart"/>
      <w:r w:rsidRPr="00F0718B">
        <w:rPr>
          <w:rFonts w:ascii="Times New Roman" w:eastAsia="Times New Roman" w:hAnsi="Times New Roman" w:cs="Times New Roman"/>
          <w:sz w:val="24"/>
          <w:szCs w:val="24"/>
          <w:lang w:eastAsia="en-IN"/>
        </w:rPr>
        <w:t>eBTax</w:t>
      </w:r>
      <w:proofErr w:type="spellEnd"/>
      <w:r w:rsidRPr="00F0718B">
        <w:rPr>
          <w:rFonts w:ascii="Times New Roman" w:eastAsia="Times New Roman" w:hAnsi="Times New Roman" w:cs="Times New Roman"/>
          <w:sz w:val="24"/>
          <w:szCs w:val="24"/>
          <w:lang w:eastAsia="en-IN"/>
        </w:rPr>
        <w:t xml:space="preserve"> tables that are used in Oracle R12 </w:t>
      </w:r>
      <w:proofErr w:type="spellStart"/>
      <w:r w:rsidRPr="00F0718B">
        <w:rPr>
          <w:rFonts w:ascii="Times New Roman" w:eastAsia="Times New Roman" w:hAnsi="Times New Roman" w:cs="Times New Roman"/>
          <w:sz w:val="24"/>
          <w:szCs w:val="24"/>
          <w:lang w:eastAsia="en-IN"/>
        </w:rPr>
        <w:t>eBTax</w:t>
      </w:r>
      <w:proofErr w:type="spellEnd"/>
      <w:r w:rsidRPr="00F0718B">
        <w:rPr>
          <w:rFonts w:ascii="Times New Roman" w:eastAsia="Times New Roman" w:hAnsi="Times New Roman" w:cs="Times New Roman"/>
          <w:sz w:val="24"/>
          <w:szCs w:val="24"/>
          <w:lang w:eastAsia="en-IN"/>
        </w:rPr>
        <w:t xml:space="preserve"> Module</w:t>
      </w:r>
      <w:r w:rsidRPr="00F0718B">
        <w:rPr>
          <w:rFonts w:ascii="Times New Roman" w:eastAsia="Times New Roman" w:hAnsi="Times New Roman" w:cs="Times New Roman"/>
          <w:sz w:val="24"/>
          <w:szCs w:val="24"/>
          <w:lang w:eastAsia="en-IN"/>
        </w:rPr>
        <w:br/>
      </w:r>
      <w:r>
        <w:rPr>
          <w:rFonts w:ascii="Times New Roman" w:eastAsia="Times New Roman" w:hAnsi="Times New Roman" w:cs="Times New Roman"/>
          <w:noProof/>
          <w:color w:val="0000FF"/>
          <w:sz w:val="24"/>
          <w:szCs w:val="24"/>
          <w:lang w:eastAsia="en-IN"/>
        </w:rPr>
        <w:drawing>
          <wp:inline distT="0" distB="0" distL="0" distR="0">
            <wp:extent cx="14283055" cy="10033000"/>
            <wp:effectExtent l="0" t="0" r="4445" b="6350"/>
            <wp:docPr id="3" name="Picture 3" descr="Click to see Oracle R12 eBTax ER Diagram in new window">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ick to see Oracle R12 eBTax ER Diagram in new window">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283055" cy="10033000"/>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34" w:history="1">
        <w:r w:rsidRPr="00F0718B">
          <w:rPr>
            <w:rFonts w:ascii="Times New Roman" w:eastAsia="Times New Roman" w:hAnsi="Times New Roman" w:cs="Times New Roman"/>
            <w:b/>
            <w:bCs/>
            <w:color w:val="0000FF"/>
            <w:sz w:val="36"/>
            <w:szCs w:val="36"/>
            <w:u w:val="single"/>
            <w:lang w:eastAsia="en-IN"/>
          </w:rPr>
          <w:t>Oracle Advanced Pricing ER Diagram</w:t>
        </w:r>
      </w:hyperlink>
    </w:p>
    <w:p w:rsidR="00F0718B" w:rsidRPr="00F0718B" w:rsidRDefault="00F0718B" w:rsidP="00F0718B">
      <w:pPr>
        <w:spacing w:before="100" w:beforeAutospacing="1" w:after="100" w:afterAutospacing="1"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 xml:space="preserve">Oracle Advanced Pricing ER Diagram </w:t>
      </w:r>
      <w:r>
        <w:rPr>
          <w:rFonts w:ascii="Times New Roman" w:eastAsia="Times New Roman" w:hAnsi="Times New Roman" w:cs="Times New Roman"/>
          <w:noProof/>
          <w:sz w:val="24"/>
          <w:szCs w:val="24"/>
          <w:lang w:eastAsia="en-IN"/>
        </w:rPr>
        <w:drawing>
          <wp:inline distT="0" distB="0" distL="0" distR="0">
            <wp:extent cx="9525000" cy="12107545"/>
            <wp:effectExtent l="0" t="0" r="0" b="8255"/>
            <wp:docPr id="2" name="Picture 2" descr="Oracle Advanced Pricing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racle Advanced Pricing ER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00" cy="12107545"/>
                    </a:xfrm>
                    <a:prstGeom prst="rect">
                      <a:avLst/>
                    </a:prstGeom>
                    <a:noFill/>
                    <a:ln>
                      <a:noFill/>
                    </a:ln>
                  </pic:spPr>
                </pic:pic>
              </a:graphicData>
            </a:graphic>
          </wp:inline>
        </w:drawing>
      </w:r>
    </w:p>
    <w:p w:rsidR="00F0718B" w:rsidRPr="00F0718B" w:rsidRDefault="00F0718B" w:rsidP="00F071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36" w:history="1">
        <w:r w:rsidRPr="00F0718B">
          <w:rPr>
            <w:rFonts w:ascii="Times New Roman" w:eastAsia="Times New Roman" w:hAnsi="Times New Roman" w:cs="Times New Roman"/>
            <w:b/>
            <w:bCs/>
            <w:color w:val="0000FF"/>
            <w:sz w:val="36"/>
            <w:szCs w:val="36"/>
            <w:u w:val="single"/>
            <w:lang w:eastAsia="en-IN"/>
          </w:rPr>
          <w:t>Oracle TCA - Customer Account key primary and foreign key definitions</w:t>
        </w:r>
      </w:hyperlink>
    </w:p>
    <w:p w:rsidR="00F0718B" w:rsidRPr="00F0718B" w:rsidRDefault="00F0718B" w:rsidP="00F0718B">
      <w:pPr>
        <w:spacing w:after="0" w:line="240" w:lineRule="auto"/>
        <w:rPr>
          <w:rFonts w:ascii="Times New Roman" w:eastAsia="Times New Roman" w:hAnsi="Times New Roman" w:cs="Times New Roman"/>
          <w:sz w:val="24"/>
          <w:szCs w:val="24"/>
          <w:lang w:eastAsia="en-IN"/>
        </w:rPr>
      </w:pPr>
      <w:r w:rsidRPr="00F0718B">
        <w:rPr>
          <w:rFonts w:ascii="Times New Roman" w:eastAsia="Times New Roman" w:hAnsi="Times New Roman" w:cs="Times New Roman"/>
          <w:sz w:val="24"/>
          <w:szCs w:val="24"/>
          <w:lang w:eastAsia="en-IN"/>
        </w:rPr>
        <w:t xml:space="preserve">Oracle </w:t>
      </w:r>
      <w:proofErr w:type="spellStart"/>
      <w:r w:rsidRPr="00F0718B">
        <w:rPr>
          <w:rFonts w:ascii="Times New Roman" w:eastAsia="Times New Roman" w:hAnsi="Times New Roman" w:cs="Times New Roman"/>
          <w:sz w:val="24"/>
          <w:szCs w:val="24"/>
          <w:lang w:eastAsia="en-IN"/>
        </w:rPr>
        <w:t>EBusiness</w:t>
      </w:r>
      <w:proofErr w:type="spellEnd"/>
      <w:r w:rsidRPr="00F0718B">
        <w:rPr>
          <w:rFonts w:ascii="Times New Roman" w:eastAsia="Times New Roman" w:hAnsi="Times New Roman" w:cs="Times New Roman"/>
          <w:sz w:val="24"/>
          <w:szCs w:val="24"/>
          <w:lang w:eastAsia="en-IN"/>
        </w:rPr>
        <w:t xml:space="preserve"> Suite Trading Community Architecture ER Diagram - a useful guide to writing queries.  </w:t>
      </w:r>
      <w:proofErr w:type="gramStart"/>
      <w:r w:rsidRPr="00F0718B">
        <w:rPr>
          <w:rFonts w:ascii="Times New Roman" w:eastAsia="Times New Roman" w:hAnsi="Times New Roman" w:cs="Times New Roman"/>
          <w:sz w:val="24"/>
          <w:szCs w:val="24"/>
          <w:lang w:eastAsia="en-IN"/>
        </w:rPr>
        <w:t>Limited to only the primary and foreign keys to optimize content on page.</w:t>
      </w:r>
      <w:proofErr w:type="gramEnd"/>
      <w:r w:rsidRPr="00F0718B">
        <w:rPr>
          <w:rFonts w:ascii="Times New Roman" w:eastAsia="Times New Roman" w:hAnsi="Times New Roman" w:cs="Times New Roman"/>
          <w:sz w:val="24"/>
          <w:szCs w:val="24"/>
          <w:lang w:eastAsia="en-IN"/>
        </w:rPr>
        <w:t xml:space="preserve">  We will add the Supplier side as well shortly.</w:t>
      </w:r>
      <w:r w:rsidRPr="00F0718B">
        <w:rPr>
          <w:rFonts w:ascii="Times New Roman" w:eastAsia="Times New Roman" w:hAnsi="Times New Roman" w:cs="Times New Roman"/>
          <w:sz w:val="24"/>
          <w:szCs w:val="24"/>
          <w:lang w:eastAsia="en-IN"/>
        </w:rPr>
        <w:br/>
      </w:r>
      <w:r w:rsidRPr="00F0718B">
        <w:rPr>
          <w:rFonts w:ascii="Times New Roman" w:eastAsia="Times New Roman" w:hAnsi="Times New Roman" w:cs="Times New Roman"/>
          <w:sz w:val="24"/>
          <w:szCs w:val="24"/>
          <w:lang w:eastAsia="en-IN"/>
        </w:rPr>
        <w:br/>
      </w:r>
      <w:r>
        <w:rPr>
          <w:rFonts w:ascii="Times New Roman" w:eastAsia="Times New Roman" w:hAnsi="Times New Roman" w:cs="Times New Roman"/>
          <w:noProof/>
          <w:sz w:val="24"/>
          <w:szCs w:val="24"/>
          <w:lang w:eastAsia="en-IN"/>
        </w:rPr>
        <w:drawing>
          <wp:inline distT="0" distB="0" distL="0" distR="0">
            <wp:extent cx="11430000" cy="7306945"/>
            <wp:effectExtent l="0" t="0" r="0" b="8255"/>
            <wp:docPr id="1" name="Picture 1" descr="Oracle TCA - Customer Account key primary and foreign key defin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racle TCA - Customer Account key primary and foreign key definition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430000" cy="7306945"/>
                    </a:xfrm>
                    <a:prstGeom prst="rect">
                      <a:avLst/>
                    </a:prstGeom>
                    <a:noFill/>
                    <a:ln>
                      <a:noFill/>
                    </a:ln>
                  </pic:spPr>
                </pic:pic>
              </a:graphicData>
            </a:graphic>
          </wp:inline>
        </w:drawing>
      </w:r>
    </w:p>
    <w:p w:rsidR="00494D29" w:rsidRDefault="00494D29">
      <w:bookmarkStart w:id="0" w:name="_GoBack"/>
      <w:bookmarkEnd w:id="0"/>
    </w:p>
    <w:sectPr w:rsidR="00494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18B"/>
    <w:rsid w:val="00494D29"/>
    <w:rsid w:val="00F07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071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071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718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0718B"/>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F0718B"/>
    <w:rPr>
      <w:color w:val="0000FF"/>
      <w:u w:val="single"/>
    </w:rPr>
  </w:style>
  <w:style w:type="paragraph" w:styleId="NormalWeb">
    <w:name w:val="Normal (Web)"/>
    <w:basedOn w:val="Normal"/>
    <w:uiPriority w:val="99"/>
    <w:semiHidden/>
    <w:unhideWhenUsed/>
    <w:rsid w:val="00F07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F071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1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071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071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718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0718B"/>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F0718B"/>
    <w:rPr>
      <w:color w:val="0000FF"/>
      <w:u w:val="single"/>
    </w:rPr>
  </w:style>
  <w:style w:type="paragraph" w:styleId="NormalWeb">
    <w:name w:val="Normal (Web)"/>
    <w:basedOn w:val="Normal"/>
    <w:uiPriority w:val="99"/>
    <w:semiHidden/>
    <w:unhideWhenUsed/>
    <w:rsid w:val="00F071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F071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1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881859">
      <w:bodyDiv w:val="1"/>
      <w:marLeft w:val="0"/>
      <w:marRight w:val="0"/>
      <w:marTop w:val="0"/>
      <w:marBottom w:val="0"/>
      <w:divBdr>
        <w:top w:val="none" w:sz="0" w:space="0" w:color="auto"/>
        <w:left w:val="none" w:sz="0" w:space="0" w:color="auto"/>
        <w:bottom w:val="none" w:sz="0" w:space="0" w:color="auto"/>
        <w:right w:val="none" w:sz="0" w:space="0" w:color="auto"/>
      </w:divBdr>
      <w:divsChild>
        <w:div w:id="571430319">
          <w:marLeft w:val="0"/>
          <w:marRight w:val="0"/>
          <w:marTop w:val="0"/>
          <w:marBottom w:val="0"/>
          <w:divBdr>
            <w:top w:val="none" w:sz="0" w:space="0" w:color="auto"/>
            <w:left w:val="none" w:sz="0" w:space="0" w:color="auto"/>
            <w:bottom w:val="none" w:sz="0" w:space="0" w:color="auto"/>
            <w:right w:val="none" w:sz="0" w:space="0" w:color="auto"/>
          </w:divBdr>
          <w:divsChild>
            <w:div w:id="945816257">
              <w:marLeft w:val="0"/>
              <w:marRight w:val="0"/>
              <w:marTop w:val="0"/>
              <w:marBottom w:val="0"/>
              <w:divBdr>
                <w:top w:val="none" w:sz="0" w:space="0" w:color="auto"/>
                <w:left w:val="none" w:sz="0" w:space="0" w:color="auto"/>
                <w:bottom w:val="none" w:sz="0" w:space="0" w:color="auto"/>
                <w:right w:val="none" w:sz="0" w:space="0" w:color="auto"/>
              </w:divBdr>
              <w:divsChild>
                <w:div w:id="1565213732">
                  <w:marLeft w:val="0"/>
                  <w:marRight w:val="0"/>
                  <w:marTop w:val="0"/>
                  <w:marBottom w:val="0"/>
                  <w:divBdr>
                    <w:top w:val="none" w:sz="0" w:space="0" w:color="auto"/>
                    <w:left w:val="none" w:sz="0" w:space="0" w:color="auto"/>
                    <w:bottom w:val="none" w:sz="0" w:space="0" w:color="auto"/>
                    <w:right w:val="none" w:sz="0" w:space="0" w:color="auto"/>
                  </w:divBdr>
                  <w:divsChild>
                    <w:div w:id="1834025860">
                      <w:marLeft w:val="0"/>
                      <w:marRight w:val="0"/>
                      <w:marTop w:val="0"/>
                      <w:marBottom w:val="0"/>
                      <w:divBdr>
                        <w:top w:val="none" w:sz="0" w:space="0" w:color="auto"/>
                        <w:left w:val="none" w:sz="0" w:space="0" w:color="auto"/>
                        <w:bottom w:val="none" w:sz="0" w:space="0" w:color="auto"/>
                        <w:right w:val="none" w:sz="0" w:space="0" w:color="auto"/>
                      </w:divBdr>
                      <w:divsChild>
                        <w:div w:id="2114663711">
                          <w:marLeft w:val="0"/>
                          <w:marRight w:val="0"/>
                          <w:marTop w:val="0"/>
                          <w:marBottom w:val="0"/>
                          <w:divBdr>
                            <w:top w:val="none" w:sz="0" w:space="0" w:color="auto"/>
                            <w:left w:val="none" w:sz="0" w:space="0" w:color="auto"/>
                            <w:bottom w:val="none" w:sz="0" w:space="0" w:color="auto"/>
                            <w:right w:val="none" w:sz="0" w:space="0" w:color="auto"/>
                          </w:divBdr>
                          <w:divsChild>
                            <w:div w:id="17972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420940">
          <w:marLeft w:val="0"/>
          <w:marRight w:val="0"/>
          <w:marTop w:val="0"/>
          <w:marBottom w:val="0"/>
          <w:divBdr>
            <w:top w:val="none" w:sz="0" w:space="0" w:color="auto"/>
            <w:left w:val="none" w:sz="0" w:space="0" w:color="auto"/>
            <w:bottom w:val="none" w:sz="0" w:space="0" w:color="auto"/>
            <w:right w:val="none" w:sz="0" w:space="0" w:color="auto"/>
          </w:divBdr>
          <w:divsChild>
            <w:div w:id="119611532">
              <w:marLeft w:val="0"/>
              <w:marRight w:val="0"/>
              <w:marTop w:val="0"/>
              <w:marBottom w:val="0"/>
              <w:divBdr>
                <w:top w:val="none" w:sz="0" w:space="0" w:color="auto"/>
                <w:left w:val="none" w:sz="0" w:space="0" w:color="auto"/>
                <w:bottom w:val="none" w:sz="0" w:space="0" w:color="auto"/>
                <w:right w:val="none" w:sz="0" w:space="0" w:color="auto"/>
              </w:divBdr>
              <w:divsChild>
                <w:div w:id="732387171">
                  <w:marLeft w:val="0"/>
                  <w:marRight w:val="0"/>
                  <w:marTop w:val="0"/>
                  <w:marBottom w:val="0"/>
                  <w:divBdr>
                    <w:top w:val="none" w:sz="0" w:space="0" w:color="auto"/>
                    <w:left w:val="none" w:sz="0" w:space="0" w:color="auto"/>
                    <w:bottom w:val="none" w:sz="0" w:space="0" w:color="auto"/>
                    <w:right w:val="none" w:sz="0" w:space="0" w:color="auto"/>
                  </w:divBdr>
                  <w:divsChild>
                    <w:div w:id="1558053592">
                      <w:marLeft w:val="0"/>
                      <w:marRight w:val="0"/>
                      <w:marTop w:val="0"/>
                      <w:marBottom w:val="0"/>
                      <w:divBdr>
                        <w:top w:val="none" w:sz="0" w:space="0" w:color="auto"/>
                        <w:left w:val="none" w:sz="0" w:space="0" w:color="auto"/>
                        <w:bottom w:val="none" w:sz="0" w:space="0" w:color="auto"/>
                        <w:right w:val="none" w:sz="0" w:space="0" w:color="auto"/>
                      </w:divBdr>
                      <w:divsChild>
                        <w:div w:id="390931437">
                          <w:marLeft w:val="0"/>
                          <w:marRight w:val="0"/>
                          <w:marTop w:val="0"/>
                          <w:marBottom w:val="0"/>
                          <w:divBdr>
                            <w:top w:val="none" w:sz="0" w:space="0" w:color="auto"/>
                            <w:left w:val="none" w:sz="0" w:space="0" w:color="auto"/>
                            <w:bottom w:val="none" w:sz="0" w:space="0" w:color="auto"/>
                            <w:right w:val="none" w:sz="0" w:space="0" w:color="auto"/>
                          </w:divBdr>
                          <w:divsChild>
                            <w:div w:id="7198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891461">
          <w:marLeft w:val="0"/>
          <w:marRight w:val="0"/>
          <w:marTop w:val="0"/>
          <w:marBottom w:val="0"/>
          <w:divBdr>
            <w:top w:val="none" w:sz="0" w:space="0" w:color="auto"/>
            <w:left w:val="none" w:sz="0" w:space="0" w:color="auto"/>
            <w:bottom w:val="none" w:sz="0" w:space="0" w:color="auto"/>
            <w:right w:val="none" w:sz="0" w:space="0" w:color="auto"/>
          </w:divBdr>
          <w:divsChild>
            <w:div w:id="1829785121">
              <w:marLeft w:val="0"/>
              <w:marRight w:val="0"/>
              <w:marTop w:val="0"/>
              <w:marBottom w:val="0"/>
              <w:divBdr>
                <w:top w:val="none" w:sz="0" w:space="0" w:color="auto"/>
                <w:left w:val="none" w:sz="0" w:space="0" w:color="auto"/>
                <w:bottom w:val="none" w:sz="0" w:space="0" w:color="auto"/>
                <w:right w:val="none" w:sz="0" w:space="0" w:color="auto"/>
              </w:divBdr>
              <w:divsChild>
                <w:div w:id="218395308">
                  <w:marLeft w:val="0"/>
                  <w:marRight w:val="0"/>
                  <w:marTop w:val="0"/>
                  <w:marBottom w:val="0"/>
                  <w:divBdr>
                    <w:top w:val="none" w:sz="0" w:space="0" w:color="auto"/>
                    <w:left w:val="none" w:sz="0" w:space="0" w:color="auto"/>
                    <w:bottom w:val="none" w:sz="0" w:space="0" w:color="auto"/>
                    <w:right w:val="none" w:sz="0" w:space="0" w:color="auto"/>
                  </w:divBdr>
                  <w:divsChild>
                    <w:div w:id="1156455433">
                      <w:marLeft w:val="0"/>
                      <w:marRight w:val="0"/>
                      <w:marTop w:val="0"/>
                      <w:marBottom w:val="0"/>
                      <w:divBdr>
                        <w:top w:val="none" w:sz="0" w:space="0" w:color="auto"/>
                        <w:left w:val="none" w:sz="0" w:space="0" w:color="auto"/>
                        <w:bottom w:val="none" w:sz="0" w:space="0" w:color="auto"/>
                        <w:right w:val="none" w:sz="0" w:space="0" w:color="auto"/>
                      </w:divBdr>
                      <w:divsChild>
                        <w:div w:id="557788488">
                          <w:marLeft w:val="0"/>
                          <w:marRight w:val="0"/>
                          <w:marTop w:val="0"/>
                          <w:marBottom w:val="0"/>
                          <w:divBdr>
                            <w:top w:val="none" w:sz="0" w:space="0" w:color="auto"/>
                            <w:left w:val="none" w:sz="0" w:space="0" w:color="auto"/>
                            <w:bottom w:val="none" w:sz="0" w:space="0" w:color="auto"/>
                            <w:right w:val="none" w:sz="0" w:space="0" w:color="auto"/>
                          </w:divBdr>
                          <w:divsChild>
                            <w:div w:id="19811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997941">
          <w:marLeft w:val="0"/>
          <w:marRight w:val="0"/>
          <w:marTop w:val="0"/>
          <w:marBottom w:val="0"/>
          <w:divBdr>
            <w:top w:val="none" w:sz="0" w:space="0" w:color="auto"/>
            <w:left w:val="none" w:sz="0" w:space="0" w:color="auto"/>
            <w:bottom w:val="none" w:sz="0" w:space="0" w:color="auto"/>
            <w:right w:val="none" w:sz="0" w:space="0" w:color="auto"/>
          </w:divBdr>
          <w:divsChild>
            <w:div w:id="391856100">
              <w:marLeft w:val="0"/>
              <w:marRight w:val="0"/>
              <w:marTop w:val="0"/>
              <w:marBottom w:val="0"/>
              <w:divBdr>
                <w:top w:val="none" w:sz="0" w:space="0" w:color="auto"/>
                <w:left w:val="none" w:sz="0" w:space="0" w:color="auto"/>
                <w:bottom w:val="none" w:sz="0" w:space="0" w:color="auto"/>
                <w:right w:val="none" w:sz="0" w:space="0" w:color="auto"/>
              </w:divBdr>
              <w:divsChild>
                <w:div w:id="2067677799">
                  <w:marLeft w:val="0"/>
                  <w:marRight w:val="0"/>
                  <w:marTop w:val="0"/>
                  <w:marBottom w:val="0"/>
                  <w:divBdr>
                    <w:top w:val="none" w:sz="0" w:space="0" w:color="auto"/>
                    <w:left w:val="none" w:sz="0" w:space="0" w:color="auto"/>
                    <w:bottom w:val="none" w:sz="0" w:space="0" w:color="auto"/>
                    <w:right w:val="none" w:sz="0" w:space="0" w:color="auto"/>
                  </w:divBdr>
                  <w:divsChild>
                    <w:div w:id="1460026412">
                      <w:marLeft w:val="0"/>
                      <w:marRight w:val="0"/>
                      <w:marTop w:val="0"/>
                      <w:marBottom w:val="0"/>
                      <w:divBdr>
                        <w:top w:val="none" w:sz="0" w:space="0" w:color="auto"/>
                        <w:left w:val="none" w:sz="0" w:space="0" w:color="auto"/>
                        <w:bottom w:val="none" w:sz="0" w:space="0" w:color="auto"/>
                        <w:right w:val="none" w:sz="0" w:space="0" w:color="auto"/>
                      </w:divBdr>
                      <w:divsChild>
                        <w:div w:id="1779257482">
                          <w:marLeft w:val="0"/>
                          <w:marRight w:val="0"/>
                          <w:marTop w:val="0"/>
                          <w:marBottom w:val="0"/>
                          <w:divBdr>
                            <w:top w:val="none" w:sz="0" w:space="0" w:color="auto"/>
                            <w:left w:val="none" w:sz="0" w:space="0" w:color="auto"/>
                            <w:bottom w:val="none" w:sz="0" w:space="0" w:color="auto"/>
                            <w:right w:val="none" w:sz="0" w:space="0" w:color="auto"/>
                          </w:divBdr>
                          <w:divsChild>
                            <w:div w:id="17492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231391">
          <w:marLeft w:val="0"/>
          <w:marRight w:val="0"/>
          <w:marTop w:val="0"/>
          <w:marBottom w:val="0"/>
          <w:divBdr>
            <w:top w:val="none" w:sz="0" w:space="0" w:color="auto"/>
            <w:left w:val="none" w:sz="0" w:space="0" w:color="auto"/>
            <w:bottom w:val="none" w:sz="0" w:space="0" w:color="auto"/>
            <w:right w:val="none" w:sz="0" w:space="0" w:color="auto"/>
          </w:divBdr>
          <w:divsChild>
            <w:div w:id="739254470">
              <w:marLeft w:val="0"/>
              <w:marRight w:val="0"/>
              <w:marTop w:val="0"/>
              <w:marBottom w:val="0"/>
              <w:divBdr>
                <w:top w:val="none" w:sz="0" w:space="0" w:color="auto"/>
                <w:left w:val="none" w:sz="0" w:space="0" w:color="auto"/>
                <w:bottom w:val="none" w:sz="0" w:space="0" w:color="auto"/>
                <w:right w:val="none" w:sz="0" w:space="0" w:color="auto"/>
              </w:divBdr>
              <w:divsChild>
                <w:div w:id="893854483">
                  <w:marLeft w:val="0"/>
                  <w:marRight w:val="0"/>
                  <w:marTop w:val="0"/>
                  <w:marBottom w:val="0"/>
                  <w:divBdr>
                    <w:top w:val="none" w:sz="0" w:space="0" w:color="auto"/>
                    <w:left w:val="none" w:sz="0" w:space="0" w:color="auto"/>
                    <w:bottom w:val="none" w:sz="0" w:space="0" w:color="auto"/>
                    <w:right w:val="none" w:sz="0" w:space="0" w:color="auto"/>
                  </w:divBdr>
                  <w:divsChild>
                    <w:div w:id="1441993013">
                      <w:marLeft w:val="0"/>
                      <w:marRight w:val="0"/>
                      <w:marTop w:val="0"/>
                      <w:marBottom w:val="0"/>
                      <w:divBdr>
                        <w:top w:val="none" w:sz="0" w:space="0" w:color="auto"/>
                        <w:left w:val="none" w:sz="0" w:space="0" w:color="auto"/>
                        <w:bottom w:val="none" w:sz="0" w:space="0" w:color="auto"/>
                        <w:right w:val="none" w:sz="0" w:space="0" w:color="auto"/>
                      </w:divBdr>
                      <w:divsChild>
                        <w:div w:id="1997805672">
                          <w:marLeft w:val="0"/>
                          <w:marRight w:val="0"/>
                          <w:marTop w:val="0"/>
                          <w:marBottom w:val="0"/>
                          <w:divBdr>
                            <w:top w:val="none" w:sz="0" w:space="0" w:color="auto"/>
                            <w:left w:val="none" w:sz="0" w:space="0" w:color="auto"/>
                            <w:bottom w:val="none" w:sz="0" w:space="0" w:color="auto"/>
                            <w:right w:val="none" w:sz="0" w:space="0" w:color="auto"/>
                          </w:divBdr>
                          <w:divsChild>
                            <w:div w:id="18325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455375">
          <w:marLeft w:val="0"/>
          <w:marRight w:val="0"/>
          <w:marTop w:val="0"/>
          <w:marBottom w:val="0"/>
          <w:divBdr>
            <w:top w:val="none" w:sz="0" w:space="0" w:color="auto"/>
            <w:left w:val="none" w:sz="0" w:space="0" w:color="auto"/>
            <w:bottom w:val="none" w:sz="0" w:space="0" w:color="auto"/>
            <w:right w:val="none" w:sz="0" w:space="0" w:color="auto"/>
          </w:divBdr>
          <w:divsChild>
            <w:div w:id="830949529">
              <w:marLeft w:val="0"/>
              <w:marRight w:val="0"/>
              <w:marTop w:val="0"/>
              <w:marBottom w:val="0"/>
              <w:divBdr>
                <w:top w:val="none" w:sz="0" w:space="0" w:color="auto"/>
                <w:left w:val="none" w:sz="0" w:space="0" w:color="auto"/>
                <w:bottom w:val="none" w:sz="0" w:space="0" w:color="auto"/>
                <w:right w:val="none" w:sz="0" w:space="0" w:color="auto"/>
              </w:divBdr>
              <w:divsChild>
                <w:div w:id="1264799420">
                  <w:marLeft w:val="0"/>
                  <w:marRight w:val="0"/>
                  <w:marTop w:val="0"/>
                  <w:marBottom w:val="0"/>
                  <w:divBdr>
                    <w:top w:val="none" w:sz="0" w:space="0" w:color="auto"/>
                    <w:left w:val="none" w:sz="0" w:space="0" w:color="auto"/>
                    <w:bottom w:val="none" w:sz="0" w:space="0" w:color="auto"/>
                    <w:right w:val="none" w:sz="0" w:space="0" w:color="auto"/>
                  </w:divBdr>
                  <w:divsChild>
                    <w:div w:id="879975269">
                      <w:marLeft w:val="0"/>
                      <w:marRight w:val="0"/>
                      <w:marTop w:val="0"/>
                      <w:marBottom w:val="0"/>
                      <w:divBdr>
                        <w:top w:val="none" w:sz="0" w:space="0" w:color="auto"/>
                        <w:left w:val="none" w:sz="0" w:space="0" w:color="auto"/>
                        <w:bottom w:val="none" w:sz="0" w:space="0" w:color="auto"/>
                        <w:right w:val="none" w:sz="0" w:space="0" w:color="auto"/>
                      </w:divBdr>
                      <w:divsChild>
                        <w:div w:id="145585745">
                          <w:marLeft w:val="0"/>
                          <w:marRight w:val="0"/>
                          <w:marTop w:val="0"/>
                          <w:marBottom w:val="0"/>
                          <w:divBdr>
                            <w:top w:val="none" w:sz="0" w:space="0" w:color="auto"/>
                            <w:left w:val="none" w:sz="0" w:space="0" w:color="auto"/>
                            <w:bottom w:val="none" w:sz="0" w:space="0" w:color="auto"/>
                            <w:right w:val="none" w:sz="0" w:space="0" w:color="auto"/>
                          </w:divBdr>
                          <w:divsChild>
                            <w:div w:id="10247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398726">
          <w:marLeft w:val="0"/>
          <w:marRight w:val="0"/>
          <w:marTop w:val="0"/>
          <w:marBottom w:val="0"/>
          <w:divBdr>
            <w:top w:val="none" w:sz="0" w:space="0" w:color="auto"/>
            <w:left w:val="none" w:sz="0" w:space="0" w:color="auto"/>
            <w:bottom w:val="none" w:sz="0" w:space="0" w:color="auto"/>
            <w:right w:val="none" w:sz="0" w:space="0" w:color="auto"/>
          </w:divBdr>
          <w:divsChild>
            <w:div w:id="112334667">
              <w:marLeft w:val="0"/>
              <w:marRight w:val="0"/>
              <w:marTop w:val="0"/>
              <w:marBottom w:val="0"/>
              <w:divBdr>
                <w:top w:val="none" w:sz="0" w:space="0" w:color="auto"/>
                <w:left w:val="none" w:sz="0" w:space="0" w:color="auto"/>
                <w:bottom w:val="none" w:sz="0" w:space="0" w:color="auto"/>
                <w:right w:val="none" w:sz="0" w:space="0" w:color="auto"/>
              </w:divBdr>
              <w:divsChild>
                <w:div w:id="1612008447">
                  <w:marLeft w:val="0"/>
                  <w:marRight w:val="0"/>
                  <w:marTop w:val="0"/>
                  <w:marBottom w:val="0"/>
                  <w:divBdr>
                    <w:top w:val="none" w:sz="0" w:space="0" w:color="auto"/>
                    <w:left w:val="none" w:sz="0" w:space="0" w:color="auto"/>
                    <w:bottom w:val="none" w:sz="0" w:space="0" w:color="auto"/>
                    <w:right w:val="none" w:sz="0" w:space="0" w:color="auto"/>
                  </w:divBdr>
                  <w:divsChild>
                    <w:div w:id="1860387320">
                      <w:marLeft w:val="0"/>
                      <w:marRight w:val="0"/>
                      <w:marTop w:val="0"/>
                      <w:marBottom w:val="0"/>
                      <w:divBdr>
                        <w:top w:val="none" w:sz="0" w:space="0" w:color="auto"/>
                        <w:left w:val="none" w:sz="0" w:space="0" w:color="auto"/>
                        <w:bottom w:val="none" w:sz="0" w:space="0" w:color="auto"/>
                        <w:right w:val="none" w:sz="0" w:space="0" w:color="auto"/>
                      </w:divBdr>
                      <w:divsChild>
                        <w:div w:id="768739645">
                          <w:marLeft w:val="0"/>
                          <w:marRight w:val="0"/>
                          <w:marTop w:val="0"/>
                          <w:marBottom w:val="0"/>
                          <w:divBdr>
                            <w:top w:val="none" w:sz="0" w:space="0" w:color="auto"/>
                            <w:left w:val="none" w:sz="0" w:space="0" w:color="auto"/>
                            <w:bottom w:val="none" w:sz="0" w:space="0" w:color="auto"/>
                            <w:right w:val="none" w:sz="0" w:space="0" w:color="auto"/>
                          </w:divBdr>
                          <w:divsChild>
                            <w:div w:id="6727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80770">
          <w:marLeft w:val="0"/>
          <w:marRight w:val="0"/>
          <w:marTop w:val="0"/>
          <w:marBottom w:val="0"/>
          <w:divBdr>
            <w:top w:val="none" w:sz="0" w:space="0" w:color="auto"/>
            <w:left w:val="none" w:sz="0" w:space="0" w:color="auto"/>
            <w:bottom w:val="none" w:sz="0" w:space="0" w:color="auto"/>
            <w:right w:val="none" w:sz="0" w:space="0" w:color="auto"/>
          </w:divBdr>
          <w:divsChild>
            <w:div w:id="352608343">
              <w:marLeft w:val="0"/>
              <w:marRight w:val="0"/>
              <w:marTop w:val="0"/>
              <w:marBottom w:val="0"/>
              <w:divBdr>
                <w:top w:val="none" w:sz="0" w:space="0" w:color="auto"/>
                <w:left w:val="none" w:sz="0" w:space="0" w:color="auto"/>
                <w:bottom w:val="none" w:sz="0" w:space="0" w:color="auto"/>
                <w:right w:val="none" w:sz="0" w:space="0" w:color="auto"/>
              </w:divBdr>
              <w:divsChild>
                <w:div w:id="622687020">
                  <w:marLeft w:val="0"/>
                  <w:marRight w:val="0"/>
                  <w:marTop w:val="0"/>
                  <w:marBottom w:val="0"/>
                  <w:divBdr>
                    <w:top w:val="none" w:sz="0" w:space="0" w:color="auto"/>
                    <w:left w:val="none" w:sz="0" w:space="0" w:color="auto"/>
                    <w:bottom w:val="none" w:sz="0" w:space="0" w:color="auto"/>
                    <w:right w:val="none" w:sz="0" w:space="0" w:color="auto"/>
                  </w:divBdr>
                  <w:divsChild>
                    <w:div w:id="616370151">
                      <w:marLeft w:val="0"/>
                      <w:marRight w:val="0"/>
                      <w:marTop w:val="0"/>
                      <w:marBottom w:val="0"/>
                      <w:divBdr>
                        <w:top w:val="none" w:sz="0" w:space="0" w:color="auto"/>
                        <w:left w:val="none" w:sz="0" w:space="0" w:color="auto"/>
                        <w:bottom w:val="none" w:sz="0" w:space="0" w:color="auto"/>
                        <w:right w:val="none" w:sz="0" w:space="0" w:color="auto"/>
                      </w:divBdr>
                      <w:divsChild>
                        <w:div w:id="1125196169">
                          <w:marLeft w:val="0"/>
                          <w:marRight w:val="0"/>
                          <w:marTop w:val="0"/>
                          <w:marBottom w:val="0"/>
                          <w:divBdr>
                            <w:top w:val="none" w:sz="0" w:space="0" w:color="auto"/>
                            <w:left w:val="none" w:sz="0" w:space="0" w:color="auto"/>
                            <w:bottom w:val="none" w:sz="0" w:space="0" w:color="auto"/>
                            <w:right w:val="none" w:sz="0" w:space="0" w:color="auto"/>
                          </w:divBdr>
                          <w:divsChild>
                            <w:div w:id="125863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653981">
          <w:marLeft w:val="0"/>
          <w:marRight w:val="0"/>
          <w:marTop w:val="0"/>
          <w:marBottom w:val="0"/>
          <w:divBdr>
            <w:top w:val="none" w:sz="0" w:space="0" w:color="auto"/>
            <w:left w:val="none" w:sz="0" w:space="0" w:color="auto"/>
            <w:bottom w:val="none" w:sz="0" w:space="0" w:color="auto"/>
            <w:right w:val="none" w:sz="0" w:space="0" w:color="auto"/>
          </w:divBdr>
          <w:divsChild>
            <w:div w:id="799492893">
              <w:marLeft w:val="0"/>
              <w:marRight w:val="0"/>
              <w:marTop w:val="0"/>
              <w:marBottom w:val="0"/>
              <w:divBdr>
                <w:top w:val="none" w:sz="0" w:space="0" w:color="auto"/>
                <w:left w:val="none" w:sz="0" w:space="0" w:color="auto"/>
                <w:bottom w:val="none" w:sz="0" w:space="0" w:color="auto"/>
                <w:right w:val="none" w:sz="0" w:space="0" w:color="auto"/>
              </w:divBdr>
              <w:divsChild>
                <w:div w:id="1839078263">
                  <w:marLeft w:val="0"/>
                  <w:marRight w:val="0"/>
                  <w:marTop w:val="0"/>
                  <w:marBottom w:val="0"/>
                  <w:divBdr>
                    <w:top w:val="none" w:sz="0" w:space="0" w:color="auto"/>
                    <w:left w:val="none" w:sz="0" w:space="0" w:color="auto"/>
                    <w:bottom w:val="none" w:sz="0" w:space="0" w:color="auto"/>
                    <w:right w:val="none" w:sz="0" w:space="0" w:color="auto"/>
                  </w:divBdr>
                  <w:divsChild>
                    <w:div w:id="1784569105">
                      <w:marLeft w:val="0"/>
                      <w:marRight w:val="0"/>
                      <w:marTop w:val="0"/>
                      <w:marBottom w:val="0"/>
                      <w:divBdr>
                        <w:top w:val="none" w:sz="0" w:space="0" w:color="auto"/>
                        <w:left w:val="none" w:sz="0" w:space="0" w:color="auto"/>
                        <w:bottom w:val="none" w:sz="0" w:space="0" w:color="auto"/>
                        <w:right w:val="none" w:sz="0" w:space="0" w:color="auto"/>
                      </w:divBdr>
                      <w:divsChild>
                        <w:div w:id="1166555173">
                          <w:marLeft w:val="0"/>
                          <w:marRight w:val="0"/>
                          <w:marTop w:val="0"/>
                          <w:marBottom w:val="0"/>
                          <w:divBdr>
                            <w:top w:val="none" w:sz="0" w:space="0" w:color="auto"/>
                            <w:left w:val="none" w:sz="0" w:space="0" w:color="auto"/>
                            <w:bottom w:val="none" w:sz="0" w:space="0" w:color="auto"/>
                            <w:right w:val="none" w:sz="0" w:space="0" w:color="auto"/>
                          </w:divBdr>
                          <w:divsChild>
                            <w:div w:id="733964123">
                              <w:marLeft w:val="0"/>
                              <w:marRight w:val="0"/>
                              <w:marTop w:val="0"/>
                              <w:marBottom w:val="0"/>
                              <w:divBdr>
                                <w:top w:val="none" w:sz="0" w:space="0" w:color="auto"/>
                                <w:left w:val="none" w:sz="0" w:space="0" w:color="auto"/>
                                <w:bottom w:val="none" w:sz="0" w:space="0" w:color="auto"/>
                                <w:right w:val="none" w:sz="0" w:space="0" w:color="auto"/>
                              </w:divBdr>
                              <w:divsChild>
                                <w:div w:id="70396078">
                                  <w:marLeft w:val="0"/>
                                  <w:marRight w:val="0"/>
                                  <w:marTop w:val="0"/>
                                  <w:marBottom w:val="0"/>
                                  <w:divBdr>
                                    <w:top w:val="none" w:sz="0" w:space="0" w:color="auto"/>
                                    <w:left w:val="none" w:sz="0" w:space="0" w:color="auto"/>
                                    <w:bottom w:val="none" w:sz="0" w:space="0" w:color="auto"/>
                                    <w:right w:val="none" w:sz="0" w:space="0" w:color="auto"/>
                                  </w:divBdr>
                                  <w:divsChild>
                                    <w:div w:id="1250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556269">
          <w:marLeft w:val="0"/>
          <w:marRight w:val="0"/>
          <w:marTop w:val="0"/>
          <w:marBottom w:val="0"/>
          <w:divBdr>
            <w:top w:val="none" w:sz="0" w:space="0" w:color="auto"/>
            <w:left w:val="none" w:sz="0" w:space="0" w:color="auto"/>
            <w:bottom w:val="none" w:sz="0" w:space="0" w:color="auto"/>
            <w:right w:val="none" w:sz="0" w:space="0" w:color="auto"/>
          </w:divBdr>
          <w:divsChild>
            <w:div w:id="1690258844">
              <w:marLeft w:val="0"/>
              <w:marRight w:val="0"/>
              <w:marTop w:val="0"/>
              <w:marBottom w:val="0"/>
              <w:divBdr>
                <w:top w:val="none" w:sz="0" w:space="0" w:color="auto"/>
                <w:left w:val="none" w:sz="0" w:space="0" w:color="auto"/>
                <w:bottom w:val="none" w:sz="0" w:space="0" w:color="auto"/>
                <w:right w:val="none" w:sz="0" w:space="0" w:color="auto"/>
              </w:divBdr>
              <w:divsChild>
                <w:div w:id="1281717392">
                  <w:marLeft w:val="0"/>
                  <w:marRight w:val="0"/>
                  <w:marTop w:val="0"/>
                  <w:marBottom w:val="0"/>
                  <w:divBdr>
                    <w:top w:val="none" w:sz="0" w:space="0" w:color="auto"/>
                    <w:left w:val="none" w:sz="0" w:space="0" w:color="auto"/>
                    <w:bottom w:val="none" w:sz="0" w:space="0" w:color="auto"/>
                    <w:right w:val="none" w:sz="0" w:space="0" w:color="auto"/>
                  </w:divBdr>
                  <w:divsChild>
                    <w:div w:id="1883011416">
                      <w:marLeft w:val="0"/>
                      <w:marRight w:val="0"/>
                      <w:marTop w:val="0"/>
                      <w:marBottom w:val="0"/>
                      <w:divBdr>
                        <w:top w:val="none" w:sz="0" w:space="0" w:color="auto"/>
                        <w:left w:val="none" w:sz="0" w:space="0" w:color="auto"/>
                        <w:bottom w:val="none" w:sz="0" w:space="0" w:color="auto"/>
                        <w:right w:val="none" w:sz="0" w:space="0" w:color="auto"/>
                      </w:divBdr>
                      <w:divsChild>
                        <w:div w:id="2104760792">
                          <w:marLeft w:val="0"/>
                          <w:marRight w:val="0"/>
                          <w:marTop w:val="0"/>
                          <w:marBottom w:val="0"/>
                          <w:divBdr>
                            <w:top w:val="none" w:sz="0" w:space="0" w:color="auto"/>
                            <w:left w:val="none" w:sz="0" w:space="0" w:color="auto"/>
                            <w:bottom w:val="none" w:sz="0" w:space="0" w:color="auto"/>
                            <w:right w:val="none" w:sz="0" w:space="0" w:color="auto"/>
                          </w:divBdr>
                          <w:divsChild>
                            <w:div w:id="17996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869674">
          <w:marLeft w:val="0"/>
          <w:marRight w:val="0"/>
          <w:marTop w:val="0"/>
          <w:marBottom w:val="0"/>
          <w:divBdr>
            <w:top w:val="none" w:sz="0" w:space="0" w:color="auto"/>
            <w:left w:val="none" w:sz="0" w:space="0" w:color="auto"/>
            <w:bottom w:val="none" w:sz="0" w:space="0" w:color="auto"/>
            <w:right w:val="none" w:sz="0" w:space="0" w:color="auto"/>
          </w:divBdr>
          <w:divsChild>
            <w:div w:id="1696542906">
              <w:marLeft w:val="0"/>
              <w:marRight w:val="0"/>
              <w:marTop w:val="0"/>
              <w:marBottom w:val="0"/>
              <w:divBdr>
                <w:top w:val="none" w:sz="0" w:space="0" w:color="auto"/>
                <w:left w:val="none" w:sz="0" w:space="0" w:color="auto"/>
                <w:bottom w:val="none" w:sz="0" w:space="0" w:color="auto"/>
                <w:right w:val="none" w:sz="0" w:space="0" w:color="auto"/>
              </w:divBdr>
              <w:divsChild>
                <w:div w:id="1290479218">
                  <w:marLeft w:val="0"/>
                  <w:marRight w:val="0"/>
                  <w:marTop w:val="0"/>
                  <w:marBottom w:val="0"/>
                  <w:divBdr>
                    <w:top w:val="none" w:sz="0" w:space="0" w:color="auto"/>
                    <w:left w:val="none" w:sz="0" w:space="0" w:color="auto"/>
                    <w:bottom w:val="none" w:sz="0" w:space="0" w:color="auto"/>
                    <w:right w:val="none" w:sz="0" w:space="0" w:color="auto"/>
                  </w:divBdr>
                  <w:divsChild>
                    <w:div w:id="1808618317">
                      <w:marLeft w:val="0"/>
                      <w:marRight w:val="0"/>
                      <w:marTop w:val="0"/>
                      <w:marBottom w:val="0"/>
                      <w:divBdr>
                        <w:top w:val="none" w:sz="0" w:space="0" w:color="auto"/>
                        <w:left w:val="none" w:sz="0" w:space="0" w:color="auto"/>
                        <w:bottom w:val="none" w:sz="0" w:space="0" w:color="auto"/>
                        <w:right w:val="none" w:sz="0" w:space="0" w:color="auto"/>
                      </w:divBdr>
                      <w:divsChild>
                        <w:div w:id="722600706">
                          <w:marLeft w:val="0"/>
                          <w:marRight w:val="0"/>
                          <w:marTop w:val="0"/>
                          <w:marBottom w:val="0"/>
                          <w:divBdr>
                            <w:top w:val="none" w:sz="0" w:space="0" w:color="auto"/>
                            <w:left w:val="none" w:sz="0" w:space="0" w:color="auto"/>
                            <w:bottom w:val="none" w:sz="0" w:space="0" w:color="auto"/>
                            <w:right w:val="none" w:sz="0" w:space="0" w:color="auto"/>
                          </w:divBdr>
                          <w:divsChild>
                            <w:div w:id="19078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523259">
          <w:marLeft w:val="0"/>
          <w:marRight w:val="0"/>
          <w:marTop w:val="0"/>
          <w:marBottom w:val="0"/>
          <w:divBdr>
            <w:top w:val="none" w:sz="0" w:space="0" w:color="auto"/>
            <w:left w:val="none" w:sz="0" w:space="0" w:color="auto"/>
            <w:bottom w:val="none" w:sz="0" w:space="0" w:color="auto"/>
            <w:right w:val="none" w:sz="0" w:space="0" w:color="auto"/>
          </w:divBdr>
          <w:divsChild>
            <w:div w:id="217515256">
              <w:marLeft w:val="0"/>
              <w:marRight w:val="0"/>
              <w:marTop w:val="0"/>
              <w:marBottom w:val="0"/>
              <w:divBdr>
                <w:top w:val="none" w:sz="0" w:space="0" w:color="auto"/>
                <w:left w:val="none" w:sz="0" w:space="0" w:color="auto"/>
                <w:bottom w:val="none" w:sz="0" w:space="0" w:color="auto"/>
                <w:right w:val="none" w:sz="0" w:space="0" w:color="auto"/>
              </w:divBdr>
              <w:divsChild>
                <w:div w:id="541750297">
                  <w:marLeft w:val="0"/>
                  <w:marRight w:val="0"/>
                  <w:marTop w:val="0"/>
                  <w:marBottom w:val="0"/>
                  <w:divBdr>
                    <w:top w:val="none" w:sz="0" w:space="0" w:color="auto"/>
                    <w:left w:val="none" w:sz="0" w:space="0" w:color="auto"/>
                    <w:bottom w:val="none" w:sz="0" w:space="0" w:color="auto"/>
                    <w:right w:val="none" w:sz="0" w:space="0" w:color="auto"/>
                  </w:divBdr>
                  <w:divsChild>
                    <w:div w:id="457837663">
                      <w:marLeft w:val="0"/>
                      <w:marRight w:val="0"/>
                      <w:marTop w:val="0"/>
                      <w:marBottom w:val="0"/>
                      <w:divBdr>
                        <w:top w:val="none" w:sz="0" w:space="0" w:color="auto"/>
                        <w:left w:val="none" w:sz="0" w:space="0" w:color="auto"/>
                        <w:bottom w:val="none" w:sz="0" w:space="0" w:color="auto"/>
                        <w:right w:val="none" w:sz="0" w:space="0" w:color="auto"/>
                      </w:divBdr>
                      <w:divsChild>
                        <w:div w:id="1821312818">
                          <w:marLeft w:val="0"/>
                          <w:marRight w:val="0"/>
                          <w:marTop w:val="0"/>
                          <w:marBottom w:val="0"/>
                          <w:divBdr>
                            <w:top w:val="none" w:sz="0" w:space="0" w:color="auto"/>
                            <w:left w:val="none" w:sz="0" w:space="0" w:color="auto"/>
                            <w:bottom w:val="none" w:sz="0" w:space="0" w:color="auto"/>
                            <w:right w:val="none" w:sz="0" w:space="0" w:color="auto"/>
                          </w:divBdr>
                          <w:divsChild>
                            <w:div w:id="653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048795">
          <w:marLeft w:val="0"/>
          <w:marRight w:val="0"/>
          <w:marTop w:val="0"/>
          <w:marBottom w:val="0"/>
          <w:divBdr>
            <w:top w:val="none" w:sz="0" w:space="0" w:color="auto"/>
            <w:left w:val="none" w:sz="0" w:space="0" w:color="auto"/>
            <w:bottom w:val="none" w:sz="0" w:space="0" w:color="auto"/>
            <w:right w:val="none" w:sz="0" w:space="0" w:color="auto"/>
          </w:divBdr>
          <w:divsChild>
            <w:div w:id="1644233358">
              <w:marLeft w:val="0"/>
              <w:marRight w:val="0"/>
              <w:marTop w:val="0"/>
              <w:marBottom w:val="0"/>
              <w:divBdr>
                <w:top w:val="none" w:sz="0" w:space="0" w:color="auto"/>
                <w:left w:val="none" w:sz="0" w:space="0" w:color="auto"/>
                <w:bottom w:val="none" w:sz="0" w:space="0" w:color="auto"/>
                <w:right w:val="none" w:sz="0" w:space="0" w:color="auto"/>
              </w:divBdr>
              <w:divsChild>
                <w:div w:id="1670711546">
                  <w:marLeft w:val="0"/>
                  <w:marRight w:val="0"/>
                  <w:marTop w:val="0"/>
                  <w:marBottom w:val="0"/>
                  <w:divBdr>
                    <w:top w:val="none" w:sz="0" w:space="0" w:color="auto"/>
                    <w:left w:val="none" w:sz="0" w:space="0" w:color="auto"/>
                    <w:bottom w:val="none" w:sz="0" w:space="0" w:color="auto"/>
                    <w:right w:val="none" w:sz="0" w:space="0" w:color="auto"/>
                  </w:divBdr>
                  <w:divsChild>
                    <w:div w:id="553084447">
                      <w:marLeft w:val="0"/>
                      <w:marRight w:val="0"/>
                      <w:marTop w:val="0"/>
                      <w:marBottom w:val="0"/>
                      <w:divBdr>
                        <w:top w:val="none" w:sz="0" w:space="0" w:color="auto"/>
                        <w:left w:val="none" w:sz="0" w:space="0" w:color="auto"/>
                        <w:bottom w:val="none" w:sz="0" w:space="0" w:color="auto"/>
                        <w:right w:val="none" w:sz="0" w:space="0" w:color="auto"/>
                      </w:divBdr>
                      <w:divsChild>
                        <w:div w:id="90930736">
                          <w:marLeft w:val="0"/>
                          <w:marRight w:val="0"/>
                          <w:marTop w:val="0"/>
                          <w:marBottom w:val="0"/>
                          <w:divBdr>
                            <w:top w:val="none" w:sz="0" w:space="0" w:color="auto"/>
                            <w:left w:val="none" w:sz="0" w:space="0" w:color="auto"/>
                            <w:bottom w:val="none" w:sz="0" w:space="0" w:color="auto"/>
                            <w:right w:val="none" w:sz="0" w:space="0" w:color="auto"/>
                          </w:divBdr>
                          <w:divsChild>
                            <w:div w:id="18818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initi.com/sites/default/files/Credit-Management-ERD.jpg" TargetMode="External"/><Relationship Id="rId13" Type="http://schemas.openxmlformats.org/officeDocument/2006/relationships/hyperlink" Target="https://www.triniti.com/accounts-receivables-er-diagram" TargetMode="External"/><Relationship Id="rId18" Type="http://schemas.openxmlformats.org/officeDocument/2006/relationships/hyperlink" Target="https://www.triniti.com/oracle-advanced-supply-chain-planning-ascp-er-diagram" TargetMode="External"/><Relationship Id="rId26" Type="http://schemas.openxmlformats.org/officeDocument/2006/relationships/image" Target="media/image9.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riniti.com/oracle-order-cash-er-diagram" TargetMode="External"/><Relationship Id="rId34" Type="http://schemas.openxmlformats.org/officeDocument/2006/relationships/hyperlink" Target="https://www.triniti.com/oracle-advanced-pricing-er-diagram" TargetMode="External"/><Relationship Id="rId7" Type="http://schemas.openxmlformats.org/officeDocument/2006/relationships/hyperlink" Target="https://www.triniti.com/credit-management-er-diagram" TargetMode="Externa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hyperlink" Target="https://www.triniti.com/bom-and-routing-er-diagrams" TargetMode="External"/><Relationship Id="rId33" Type="http://schemas.openxmlformats.org/officeDocument/2006/relationships/image" Target="media/image12.jpeg"/><Relationship Id="rId38"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www.triniti.com/accounts-payable-er-diagram" TargetMode="External"/><Relationship Id="rId20" Type="http://schemas.openxmlformats.org/officeDocument/2006/relationships/image" Target="media/image6.jpeg"/><Relationship Id="rId29" Type="http://schemas.openxmlformats.org/officeDocument/2006/relationships/hyperlink" Target="https://www.triniti.com/purchasing-er-diagra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triniti.com/sites/default/files/install-base-er-diagram.jpg" TargetMode="External"/><Relationship Id="rId24" Type="http://schemas.openxmlformats.org/officeDocument/2006/relationships/image" Target="media/image8.png"/><Relationship Id="rId32" Type="http://schemas.openxmlformats.org/officeDocument/2006/relationships/hyperlink" Target="https://www.triniti.com/sites/default/files/oracle-r12-ebtax-er-diagram.jpg" TargetMode="External"/><Relationship Id="rId37" Type="http://schemas.openxmlformats.org/officeDocument/2006/relationships/image" Target="media/image14.png"/><Relationship Id="rId5" Type="http://schemas.openxmlformats.org/officeDocument/2006/relationships/hyperlink" Target="https://www.triniti.com/sites/default/files/general-ledgers-er-diagram.png" TargetMode="External"/><Relationship Id="rId15" Type="http://schemas.openxmlformats.org/officeDocument/2006/relationships/image" Target="media/image4.jpeg"/><Relationship Id="rId23" Type="http://schemas.openxmlformats.org/officeDocument/2006/relationships/hyperlink" Target="https://www.triniti.com/shop-floor-management-er-diagram" TargetMode="External"/><Relationship Id="rId28" Type="http://schemas.openxmlformats.org/officeDocument/2006/relationships/image" Target="media/image10.png"/><Relationship Id="rId36" Type="http://schemas.openxmlformats.org/officeDocument/2006/relationships/hyperlink" Target="https://www.triniti.com/oracle-tca-customer-account-key-primary-and-foreign-key-definitions" TargetMode="External"/><Relationship Id="rId10" Type="http://schemas.openxmlformats.org/officeDocument/2006/relationships/hyperlink" Target="https://www.triniti.com/oracle-install-base-er-diagram" TargetMode="External"/><Relationship Id="rId19" Type="http://schemas.openxmlformats.org/officeDocument/2006/relationships/hyperlink" Target="https://www.triniti.com/sites/default/files/oracle-advanced-supply-chain-planning-er-diagram.jpg" TargetMode="External"/><Relationship Id="rId31" Type="http://schemas.openxmlformats.org/officeDocument/2006/relationships/hyperlink" Target="https://www.triniti.com/oracle-r12-ebtax-er-diagra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triniti.com/sites/default/files/oracle-ebs-accounts-receivables-erd.jpg" TargetMode="External"/><Relationship Id="rId22" Type="http://schemas.openxmlformats.org/officeDocument/2006/relationships/image" Target="media/image7.jpeg"/><Relationship Id="rId27" Type="http://schemas.openxmlformats.org/officeDocument/2006/relationships/hyperlink" Target="https://www.triniti.com/integration-software" TargetMode="External"/><Relationship Id="rId30" Type="http://schemas.openxmlformats.org/officeDocument/2006/relationships/image" Target="media/image11.png"/><Relationship Id="rId35"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btranz</dc:creator>
  <cp:lastModifiedBy>btranz</cp:lastModifiedBy>
  <cp:revision>1</cp:revision>
  <dcterms:created xsi:type="dcterms:W3CDTF">2024-02-20T15:31:00Z</dcterms:created>
  <dcterms:modified xsi:type="dcterms:W3CDTF">2024-02-20T15:32:00Z</dcterms:modified>
</cp:coreProperties>
</file>