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E905F07">
      <w:pPr>
        <w:pBdr/>
        <w:spacing w:line="360" w:lineRule="auto"/>
        <w:ind w:firstLine="0" w:left="0"/>
        <w:jc w:val="center"/>
        <w:rPr/>
      </w:pPr>
      <w:r>
        <w:rPr>
          <w:rFonts w:ascii="Times New Roman" w:hAnsi="Times New Roman" w:cs="Times New Roman"/>
          <w:b/>
          <w:i w:val="0"/>
          <w:color w:val="000000"/>
          <w:sz w:val="24"/>
        </w:rPr>
        <w:t xml:space="preserve">SERVICIO NACIONAL DE APRENDIZAJE — SENA</w:t>
      </w:r>
      <w:r/>
      <w:r/>
    </w:p>
    <w:p w14:paraId="02EE615D">
      <w:pPr>
        <w:pBdr/>
        <w:spacing w:line="360" w:lineRule="auto"/>
        <w:ind w:firstLine="0" w:left="0"/>
        <w:jc w:val="center"/>
        <w:rPr>
          <w:rFonts w:ascii="Times New Roman" w:hAnsi="Times New Roman" w:cs="Times New Roman"/>
          <w:b/>
          <w:bCs w:val="0"/>
          <w:i w:val="0"/>
          <w:color w:val="000000"/>
          <w:sz w:val="24"/>
          <w:szCs w:val="24"/>
          <w:highlight w:val="none"/>
        </w:rPr>
      </w:pPr>
      <w:r>
        <w:rPr>
          <w:rFonts w:ascii="Times New Roman" w:hAnsi="Times New Roman" w:cs="Times New Roman"/>
          <w:b/>
          <w:i w:val="0"/>
          <w:color w:val="000000"/>
          <w:sz w:val="24"/>
        </w:rPr>
        <w:t xml:space="preserve">PROGRAMA: TECNOLOGO EN ANALISIS Y DESARROLLO DE SOFTWARE </w:t>
      </w:r>
      <w:r>
        <w:rPr>
          <w:rFonts w:ascii="Times New Roman" w:hAnsi="Times New Roman" w:cs="Times New Roman"/>
          <w:b/>
          <w:bCs w:val="0"/>
          <w:i w:val="0"/>
          <w:color w:val="000000"/>
          <w:sz w:val="24"/>
          <w:szCs w:val="24"/>
          <w:highlight w:val="none"/>
        </w:rPr>
      </w:r>
      <w:r>
        <w:rPr>
          <w:rFonts w:ascii="Times New Roman" w:hAnsi="Times New Roman" w:cs="Times New Roman"/>
          <w:b/>
          <w:bCs w:val="0"/>
          <w:i w:val="0"/>
          <w:color w:val="000000"/>
          <w:sz w:val="24"/>
          <w:szCs w:val="24"/>
          <w:highlight w:val="none"/>
        </w:rPr>
      </w:r>
    </w:p>
    <w:p w14:paraId="5E6FBF64">
      <w:pPr>
        <w:pBdr/>
        <w:spacing w:line="360" w:lineRule="auto"/>
        <w:ind w:firstLine="0" w:left="0"/>
        <w:jc w:val="center"/>
        <w:rPr>
          <w:rFonts w:ascii="Times New Roman" w:hAnsi="Times New Roman" w:cs="Times New Roman"/>
          <w:b/>
          <w:bCs w:val="0"/>
          <w:i w:val="0"/>
          <w:color w:val="000000"/>
          <w:sz w:val="24"/>
          <w:szCs w:val="24"/>
          <w:highlight w:val="none"/>
        </w:rPr>
      </w:pPr>
      <w:r>
        <w:rPr>
          <w:rFonts w:ascii="Times New Roman" w:hAnsi="Times New Roman" w:cs="Times New Roman"/>
          <w:b/>
          <w:bCs w:val="0"/>
          <w:i w:val="0"/>
          <w:color w:val="000000"/>
          <w:sz w:val="24"/>
          <w:szCs w:val="24"/>
          <w:highlight w:val="none"/>
        </w:rPr>
      </w:r>
      <w:r>
        <w:rPr>
          <w:rFonts w:ascii="Times New Roman" w:hAnsi="Times New Roman" w:cs="Times New Roman"/>
          <w:b/>
          <w:bCs w:val="0"/>
          <w:i w:val="0"/>
          <w:color w:val="000000"/>
          <w:sz w:val="24"/>
          <w:szCs w:val="24"/>
          <w:highlight w:val="none"/>
        </w:rPr>
      </w:r>
      <w:r>
        <w:rPr>
          <w:rFonts w:ascii="Times New Roman" w:hAnsi="Times New Roman" w:cs="Times New Roman"/>
          <w:b/>
          <w:bCs w:val="0"/>
          <w:i w:val="0"/>
          <w:color w:val="000000"/>
          <w:sz w:val="24"/>
          <w:szCs w:val="24"/>
          <w:highlight w:val="none"/>
        </w:rPr>
      </w:r>
    </w:p>
    <w:p w14:paraId="5771CA17">
      <w:pPr>
        <w:pBdr/>
        <w:spacing w:line="360" w:lineRule="auto"/>
        <w:ind w:firstLine="0" w:left="0"/>
        <w:jc w:val="center"/>
        <w:rPr>
          <w:rFonts w:ascii="Times New Roman" w:hAnsi="Times New Roman" w:cs="Times New Roman"/>
          <w:b/>
          <w:bCs w:val="0"/>
          <w:i w:val="0"/>
          <w:color w:val="000000"/>
          <w:sz w:val="24"/>
          <w:szCs w:val="24"/>
          <w:highlight w:val="none"/>
        </w:rPr>
      </w:pPr>
      <w:r>
        <w:rPr>
          <w:rFonts w:ascii="Times New Roman" w:hAnsi="Times New Roman" w:cs="Times New Roman"/>
          <w:b/>
          <w:bCs w:val="0"/>
          <w:i w:val="0"/>
          <w:color w:val="000000"/>
          <w:sz w:val="24"/>
          <w:szCs w:val="24"/>
          <w:highlight w:val="none"/>
        </w:rPr>
      </w:r>
      <w:r>
        <w:rPr>
          <w:rFonts w:ascii="Times New Roman" w:hAnsi="Times New Roman" w:cs="Times New Roman"/>
          <w:b/>
          <w:bCs w:val="0"/>
          <w:i w:val="0"/>
          <w:color w:val="000000"/>
          <w:sz w:val="24"/>
          <w:szCs w:val="24"/>
          <w:highlight w:val="none"/>
        </w:rPr>
      </w:r>
      <w:r>
        <w:rPr>
          <w:rFonts w:ascii="Times New Roman" w:hAnsi="Times New Roman" w:cs="Times New Roman"/>
          <w:b/>
          <w:bCs w:val="0"/>
          <w:i w:val="0"/>
          <w:color w:val="000000"/>
          <w:sz w:val="24"/>
          <w:szCs w:val="24"/>
          <w:highlight w:val="none"/>
        </w:rPr>
      </w:r>
    </w:p>
    <w:p w14:paraId="44373F9A">
      <w:pPr>
        <w:pBdr/>
        <w:spacing w:line="360" w:lineRule="auto"/>
        <w:ind w:firstLine="0" w:left="0"/>
        <w:jc w:val="center"/>
        <w:rPr>
          <w:rFonts w:ascii="Times New Roman" w:hAnsi="Times New Roman" w:cs="Times New Roman"/>
          <w:b/>
          <w:bCs w:val="0"/>
          <w:i w:val="0"/>
          <w:color w:val="000000"/>
          <w:sz w:val="24"/>
          <w:szCs w:val="24"/>
          <w:highlight w:val="none"/>
        </w:rPr>
      </w:pPr>
      <w:r>
        <w:rPr>
          <w:rFonts w:ascii="Times New Roman" w:hAnsi="Times New Roman" w:cs="Times New Roman"/>
          <w:b/>
          <w:i w:val="0"/>
          <w:color w:val="000000"/>
          <w:sz w:val="24"/>
          <w:highlight w:val="none"/>
        </w:rPr>
      </w:r>
      <w:r>
        <w:rPr>
          <w:rFonts w:ascii="Times New Roman" w:hAnsi="Times New Roman" w:cs="Times New Roman"/>
          <w:b/>
          <w:bCs w:val="0"/>
          <w:i w:val="0"/>
          <w:color w:val="000000"/>
          <w:sz w:val="24"/>
          <w:szCs w:val="24"/>
          <w:highlight w:val="none"/>
        </w:rPr>
      </w:r>
      <w:r>
        <w:rPr>
          <w:rFonts w:ascii="Times New Roman" w:hAnsi="Times New Roman" w:cs="Times New Roman"/>
          <w:b/>
          <w:bCs w:val="0"/>
          <w:i w:val="0"/>
          <w:color w:val="000000"/>
          <w:sz w:val="24"/>
          <w:szCs w:val="24"/>
          <w:highlight w:val="none"/>
        </w:rPr>
      </w:r>
    </w:p>
    <w:p w14:paraId="1C32A81E">
      <w:pPr>
        <w:pBdr/>
        <w:spacing w:line="360" w:lineRule="auto"/>
        <w:ind w:firstLine="0" w:left="0"/>
        <w:jc w:val="center"/>
        <w:rPr/>
      </w:pPr>
      <w:r>
        <w:rPr>
          <w:rFonts w:ascii="Times New Roman" w:hAnsi="Times New Roman" w:cs="Times New Roman"/>
          <w:b/>
          <w:i w:val="0"/>
          <w:color w:val="000000"/>
          <w:sz w:val="24"/>
          <w:highlight w:val="none"/>
        </w:rPr>
      </w:r>
      <w:r/>
      <w:r/>
    </w:p>
    <w:p w14:paraId="1D195C8A">
      <w:pPr>
        <w:pBdr/>
        <w:spacing w:line="360" w:lineRule="auto"/>
        <w:ind w:firstLine="0" w:left="0"/>
        <w:jc w:val="center"/>
        <w:rPr/>
      </w:pPr>
      <w:r>
        <w:rPr>
          <w:rFonts w:ascii="Times New Roman" w:hAnsi="Times New Roman" w:cs="Times New Roman"/>
          <w:b/>
          <w:i w:val="0"/>
          <w:color w:val="000000"/>
          <w:sz w:val="24"/>
        </w:rPr>
        <w:t xml:space="preserve">TRIMESTRE: SEXTO</w:t>
      </w:r>
      <w:r/>
      <w:r/>
    </w:p>
    <w:p w14:paraId="16352D2E">
      <w:pPr>
        <w:pBdr/>
        <w:spacing w:after="80"/>
        <w:ind/>
        <w:jc w:val="center"/>
        <w:rPr/>
      </w:pPr>
      <w:r/>
      <w:r/>
      <w:r/>
    </w:p>
    <w:p w14:paraId="35F2A27D">
      <w:pPr>
        <w:pBdr/>
        <w:spacing w:after="80"/>
        <w:ind/>
        <w:jc w:val="center"/>
        <w:rPr/>
      </w:pPr>
      <w:r/>
      <w:r/>
      <w:r/>
    </w:p>
    <w:p w14:paraId="4DD7AADC">
      <w:pPr>
        <w:pBdr/>
        <w:spacing w:after="160" w:before="160" w:line="360" w:lineRule="auto"/>
        <w:ind w:firstLine="0" w:left="0"/>
        <w:jc w:val="center"/>
        <w:rPr>
          <w:rFonts w:ascii="Times New Roman" w:hAnsi="Times New Roman" w:cs="Times New Roman"/>
          <w:b/>
          <w:bCs w:val="0"/>
          <w:i w:val="0"/>
          <w:color w:val="000000"/>
          <w:sz w:val="32"/>
          <w:szCs w:val="32"/>
          <w:highlight w:val="none"/>
        </w:rPr>
      </w:pPr>
      <w:r>
        <w:rPr>
          <w:rFonts w:ascii="Times New Roman" w:hAnsi="Times New Roman" w:cs="Times New Roman"/>
          <w:b/>
          <w:i w:val="0"/>
          <w:color w:val="000000"/>
          <w:sz w:val="32"/>
        </w:rPr>
        <w:t xml:space="preserve">PREPARACION DE PLATAFORMA E INFRAESTRUCTURA</w:t>
      </w:r>
      <w:r>
        <w:rPr>
          <w:rFonts w:ascii="Times New Roman" w:hAnsi="Times New Roman" w:cs="Times New Roman"/>
          <w:b/>
          <w:bCs w:val="0"/>
          <w:i w:val="0"/>
          <w:color w:val="000000"/>
          <w:sz w:val="32"/>
          <w:szCs w:val="32"/>
          <w:highlight w:val="none"/>
        </w:rPr>
      </w:r>
      <w:r>
        <w:rPr>
          <w:rFonts w:ascii="Times New Roman" w:hAnsi="Times New Roman" w:cs="Times New Roman"/>
          <w:b/>
          <w:bCs w:val="0"/>
          <w:i w:val="0"/>
          <w:color w:val="000000"/>
          <w:sz w:val="32"/>
          <w:szCs w:val="32"/>
          <w:highlight w:val="none"/>
        </w:rPr>
      </w:r>
    </w:p>
    <w:p w14:paraId="1E1F4BCC">
      <w:pPr>
        <w:pBdr/>
        <w:spacing w:after="160" w:before="160" w:line="360" w:lineRule="auto"/>
        <w:ind w:firstLine="0" w:left="0"/>
        <w:jc w:val="center"/>
        <w:rPr>
          <w:rFonts w:ascii="Times New Roman" w:hAnsi="Times New Roman" w:cs="Times New Roman"/>
          <w:b/>
          <w:bCs w:val="0"/>
          <w:i w:val="0"/>
          <w:color w:val="000000"/>
          <w:sz w:val="32"/>
          <w:szCs w:val="32"/>
          <w:highlight w:val="none"/>
        </w:rPr>
      </w:pPr>
      <w:r>
        <w:rPr>
          <w:rFonts w:ascii="Times New Roman" w:hAnsi="Times New Roman" w:cs="Times New Roman"/>
          <w:b/>
          <w:bCs w:val="0"/>
          <w:i w:val="0"/>
          <w:color w:val="000000"/>
          <w:sz w:val="32"/>
          <w:szCs w:val="32"/>
          <w:highlight w:val="none"/>
        </w:rPr>
      </w:r>
      <w:r>
        <w:rPr>
          <w:rFonts w:ascii="Times New Roman" w:hAnsi="Times New Roman" w:cs="Times New Roman"/>
          <w:b/>
          <w:bCs w:val="0"/>
          <w:i w:val="0"/>
          <w:color w:val="000000"/>
          <w:sz w:val="32"/>
          <w:szCs w:val="32"/>
          <w:highlight w:val="none"/>
        </w:rPr>
      </w:r>
      <w:r>
        <w:rPr>
          <w:rFonts w:ascii="Times New Roman" w:hAnsi="Times New Roman" w:cs="Times New Roman"/>
          <w:b/>
          <w:bCs w:val="0"/>
          <w:i w:val="0"/>
          <w:color w:val="000000"/>
          <w:sz w:val="32"/>
          <w:szCs w:val="32"/>
          <w:highlight w:val="none"/>
        </w:rPr>
      </w:r>
    </w:p>
    <w:p w14:paraId="72AB1E42">
      <w:pPr>
        <w:pBdr/>
        <w:spacing w:after="160" w:before="160" w:line="360" w:lineRule="auto"/>
        <w:ind w:firstLine="0" w:left="0"/>
        <w:jc w:val="center"/>
        <w:rPr>
          <w:rFonts w:ascii="Times New Roman" w:hAnsi="Times New Roman" w:cs="Times New Roman"/>
          <w:b/>
          <w:bCs w:val="0"/>
          <w:i w:val="0"/>
          <w:color w:val="000000"/>
          <w:sz w:val="32"/>
          <w:szCs w:val="32"/>
          <w:highlight w:val="none"/>
        </w:rPr>
      </w:pPr>
      <w:r>
        <w:rPr>
          <w:rFonts w:ascii="Times New Roman" w:hAnsi="Times New Roman" w:cs="Times New Roman"/>
          <w:b/>
          <w:i w:val="0"/>
          <w:color w:val="000000"/>
          <w:sz w:val="32"/>
          <w:highlight w:val="none"/>
        </w:rPr>
      </w:r>
      <w:r>
        <w:rPr>
          <w:rFonts w:ascii="Times New Roman" w:hAnsi="Times New Roman" w:cs="Times New Roman"/>
          <w:b/>
          <w:bCs w:val="0"/>
          <w:i w:val="0"/>
          <w:color w:val="000000"/>
          <w:sz w:val="32"/>
          <w:szCs w:val="32"/>
          <w:highlight w:val="none"/>
        </w:rPr>
      </w:r>
      <w:r>
        <w:rPr>
          <w:rFonts w:ascii="Times New Roman" w:hAnsi="Times New Roman" w:cs="Times New Roman"/>
          <w:b/>
          <w:bCs w:val="0"/>
          <w:i w:val="0"/>
          <w:color w:val="000000"/>
          <w:sz w:val="32"/>
          <w:szCs w:val="32"/>
          <w:highlight w:val="none"/>
        </w:rPr>
      </w:r>
    </w:p>
    <w:p w14:paraId="073B13D7">
      <w:pPr>
        <w:pBdr/>
        <w:spacing w:after="160" w:before="160" w:line="360" w:lineRule="auto"/>
        <w:ind w:firstLine="0" w:left="0"/>
        <w:jc w:val="center"/>
        <w:rPr/>
      </w:pPr>
      <w:r>
        <w:rPr>
          <w:rFonts w:ascii="Times New Roman" w:hAnsi="Times New Roman" w:cs="Times New Roman"/>
          <w:b/>
          <w:i w:val="0"/>
          <w:color w:val="000000"/>
          <w:sz w:val="32"/>
          <w:highlight w:val="none"/>
        </w:rPr>
      </w:r>
      <w:r/>
      <w:r/>
    </w:p>
    <w:p w14:paraId="20426CAB">
      <w:pPr>
        <w:pBdr/>
        <w:spacing w:line="360" w:lineRule="auto"/>
        <w:ind w:firstLine="0" w:left="0"/>
        <w:jc w:val="center"/>
        <w:rPr>
          <w:rFonts w:ascii="Times New Roman" w:hAnsi="Times New Roman" w:cs="Times New Roman"/>
          <w:b/>
          <w:bCs w:val="0"/>
          <w:i w:val="0"/>
          <w:color w:val="000000"/>
          <w:sz w:val="24"/>
          <w:szCs w:val="24"/>
          <w:highlight w:val="none"/>
        </w:rPr>
      </w:pPr>
      <w:r>
        <w:rPr>
          <w:rFonts w:ascii="Times New Roman" w:hAnsi="Times New Roman" w:cs="Times New Roman"/>
          <w:b/>
          <w:i w:val="0"/>
          <w:color w:val="000000"/>
          <w:sz w:val="24"/>
        </w:rPr>
        <w:t xml:space="preserve">PROYECTO REHNIMARKET — </w:t>
      </w:r>
      <w:r>
        <w:rPr>
          <w:rFonts w:ascii="Times New Roman" w:hAnsi="Times New Roman" w:cs="Times New Roman"/>
          <w:b/>
          <w:i w:val="0"/>
          <w:color w:val="000000"/>
          <w:sz w:val="24"/>
        </w:rPr>
        <w:t xml:space="preserve">PLATAFORMA DE COMERCIO ELECTRONICO TIPO MARKETPLACE</w:t>
      </w:r>
      <w:r>
        <w:rPr>
          <w:rFonts w:ascii="Times New Roman" w:hAnsi="Times New Roman" w:cs="Times New Roman"/>
          <w:b/>
          <w:bCs w:val="0"/>
          <w:i w:val="0"/>
          <w:color w:val="000000"/>
          <w:sz w:val="24"/>
          <w:szCs w:val="24"/>
          <w:highlight w:val="none"/>
        </w:rPr>
      </w:r>
      <w:r>
        <w:rPr>
          <w:rFonts w:ascii="Times New Roman" w:hAnsi="Times New Roman" w:cs="Times New Roman"/>
          <w:b/>
          <w:bCs w:val="0"/>
          <w:i w:val="0"/>
          <w:color w:val="000000"/>
          <w:sz w:val="24"/>
          <w:szCs w:val="24"/>
          <w:highlight w:val="none"/>
        </w:rPr>
      </w:r>
    </w:p>
    <w:p w14:paraId="7A0738BA">
      <w:pPr>
        <w:pBdr/>
        <w:spacing w:line="360" w:lineRule="auto"/>
        <w:ind w:firstLine="0" w:left="0"/>
        <w:jc w:val="center"/>
        <w:rPr/>
      </w:pPr>
      <w:r/>
      <w:r/>
      <w:r/>
    </w:p>
    <w:p w14:paraId="2D4692EE">
      <w:pPr>
        <w:pBdr/>
        <w:spacing w:line="360" w:lineRule="auto"/>
        <w:ind w:firstLine="0" w:left="0"/>
        <w:jc w:val="center"/>
        <w:rPr/>
      </w:pPr>
      <w:r/>
      <w:r/>
      <w:r/>
    </w:p>
    <w:p w14:paraId="33935BC9">
      <w:pPr>
        <w:pBdr/>
        <w:spacing w:line="360" w:lineRule="auto"/>
        <w:ind w:firstLine="0" w:left="0"/>
        <w:jc w:val="center"/>
        <w:rPr/>
      </w:pPr>
      <w:r/>
      <w:r/>
      <w:r/>
    </w:p>
    <w:p w14:paraId="5CFB0484">
      <w:pPr>
        <w:pBdr/>
        <w:spacing w:line="360" w:lineRule="auto"/>
        <w:ind w:firstLine="0" w:left="0"/>
        <w:jc w:val="center"/>
        <w:rPr/>
      </w:pPr>
      <w:r>
        <w:rPr>
          <w:rFonts w:ascii="Times New Roman" w:hAnsi="Times New Roman" w:cs="Times New Roman"/>
          <w:b/>
          <w:i w:val="0"/>
          <w:color w:val="000000"/>
          <w:sz w:val="24"/>
          <w:highlight w:val="none"/>
        </w:rPr>
      </w:r>
      <w:r/>
      <w:r/>
    </w:p>
    <w:p w14:paraId="738FEB39">
      <w:pPr>
        <w:pBdr/>
        <w:spacing w:line="360" w:lineRule="auto"/>
        <w:ind w:firstLine="0" w:left="0"/>
        <w:jc w:val="center"/>
        <w:rPr/>
      </w:pPr>
      <w:r>
        <w:rPr>
          <w:rFonts w:ascii="Times New Roman" w:hAnsi="Times New Roman" w:cs="Times New Roman"/>
          <w:b/>
          <w:i w:val="0"/>
          <w:color w:val="000000"/>
          <w:sz w:val="24"/>
        </w:rPr>
        <w:t xml:space="preserve">CRITERIO DE EVALUACION SENA:</w:t>
      </w:r>
      <w:r>
        <w:rPr>
          <w:rFonts w:ascii="Times New Roman" w:hAnsi="Times New Roman" w:cs="Times New Roman"/>
          <w:b/>
          <w:i w:val="0"/>
          <w:color w:val="000000"/>
          <w:sz w:val="24"/>
          <w:lang w:val="es-ES"/>
        </w:rPr>
        <w:t xml:space="preserve"> REQUISITOS NO FUNCIONALES</w:t>
      </w:r>
      <w:r/>
      <w:r/>
    </w:p>
    <w:p w14:paraId="69A2828D">
      <w:pPr>
        <w:pBdr/>
        <w:spacing w:after="80"/>
        <w:ind/>
        <w:jc w:val="center"/>
        <w:rPr/>
      </w:pPr>
      <w:r/>
      <w:r/>
      <w:r/>
    </w:p>
    <w:p w14:paraId="5944A386">
      <w:pPr>
        <w:pBdr/>
        <w:spacing/>
        <w:ind/>
        <w:jc w:val="center"/>
        <w:rPr/>
      </w:pPr>
      <w:r>
        <w:rPr>
          <w:rFonts w:ascii="Times New Roman" w:hAnsi="Times New Roman" w:cs="Times New Roman"/>
          <w:b w:val="0"/>
          <w:i w:val="0"/>
          <w:color w:val="000000"/>
          <w:sz w:val="24"/>
        </w:rPr>
        <w:t xml:space="preserve">Autor: </w:t>
      </w:r>
      <w:r>
        <w:rPr>
          <w:rFonts w:ascii="Times New Roman" w:hAnsi="Times New Roman" w:cs="Times New Roman"/>
          <w:b w:val="0"/>
          <w:i w:val="0"/>
          <w:color w:val="000000"/>
          <w:sz w:val="24"/>
          <w:lang w:val="es-ES"/>
        </w:rPr>
        <w:t xml:space="preserve">Yeinher Algarin</w:t>
      </w:r>
      <w:r/>
      <w:r/>
    </w:p>
    <w:p>
      <w:pPr>
        <w:pBdr/>
        <w:spacing/>
        <w:ind/>
        <w:rPr/>
      </w:pPr>
      <w:r>
        <w:br w:type="page" w:clear="all"/>
      </w:r>
      <w:r/>
    </w:p>
    <w:p w14:paraId="7E4CC5C9">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REQUISITOS NO FUNCIONALES — REHNIMARKET</w:t>
      </w:r>
      <w:r/>
    </w:p>
    <w:p w14:paraId="7C5237DD">
      <w:pPr>
        <w:pStyle w:val="704"/>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36"/>
        </w:rPr>
        <w:t xml:space="preserve">1. Seguridad</w:t>
      </w:r>
      <w:r/>
    </w:p>
    <w:p w14:paraId="711329E6">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RNF-001 — Autenticación basada en JWT (Access Token + Refresh Token)</w:t>
      </w:r>
      <w:r/>
    </w:p>
    <w:p w14:paraId="7844BAE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01859E1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RehniMarket debe implementar un mecanismo de autenticación basado en JSON Web Tokens (JWT) para proteger los recursos que requieren autenticación. El sistema debe utilizar un </w:t>
      </w:r>
      <w:r>
        <w:rPr>
          <w:rFonts w:ascii="Times New Roman" w:hAnsi="Times New Roman" w:eastAsia="Times New Roman" w:cs="Times New Roman"/>
          <w:b/>
          <w:color w:val="000000"/>
          <w:sz w:val="24"/>
        </w:rPr>
        <w:t xml:space="preserve">access token</w:t>
      </w:r>
      <w:r>
        <w:rPr>
          <w:rFonts w:ascii="Times New Roman" w:hAnsi="Times New Roman" w:eastAsia="Times New Roman" w:cs="Times New Roman"/>
          <w:color w:val="000000"/>
          <w:sz w:val="24"/>
        </w:rPr>
        <w:t xml:space="preserve"> para autorizar las solicitudes a los recursos protegidos y un </w:t>
      </w:r>
      <w:r>
        <w:rPr>
          <w:rFonts w:ascii="Times New Roman" w:hAnsi="Times New Roman" w:eastAsia="Times New Roman" w:cs="Times New Roman"/>
          <w:b/>
          <w:color w:val="000000"/>
          <w:sz w:val="24"/>
        </w:rPr>
        <w:t xml:space="preserve">refresh token</w:t>
      </w:r>
      <w:r>
        <w:rPr>
          <w:rFonts w:ascii="Times New Roman" w:hAnsi="Times New Roman" w:eastAsia="Times New Roman" w:cs="Times New Roman"/>
          <w:color w:val="000000"/>
          <w:sz w:val="24"/>
        </w:rPr>
        <w:t xml:space="preserve"> independiente para permitir la renovación de la sesión sin que el usuario tenga que ingresar nuevamente sus credenciales.</w:t>
      </w:r>
      <w:r/>
    </w:p>
    <w:p w14:paraId="1F890EC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access token debe tener una duración limitada, mientras que el refresh token debe utilizarse exclusivamente para solicitar una nueva sesión de acceso. Los dos tipos de token deben ser identificables y no deben ser intercambiables.</w:t>
      </w:r>
      <w:r/>
    </w:p>
    <w:p w14:paraId="3475565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3BDAAA2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Las rutas protegidas deben rechazar solicitudes sin autenticación.</w:t>
      </w:r>
      <w:r/>
    </w:p>
    <w:p w14:paraId="0EB4D43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Una solicitud sin un access token válido debe recibir una respuesta HTTP </w:t>
      </w:r>
      <w:r>
        <w:rPr>
          <w:rFonts w:ascii="Courier New" w:hAnsi="Courier New" w:eastAsia="Courier New" w:cs="Courier New"/>
          <w:color w:val="000000"/>
          <w:sz w:val="20"/>
        </w:rPr>
        <w:t xml:space="preserve">401</w:t>
      </w:r>
      <w:r>
        <w:rPr>
          <w:rFonts w:ascii="Times New Roman" w:hAnsi="Times New Roman" w:eastAsia="Times New Roman" w:cs="Times New Roman"/>
          <w:color w:val="000000"/>
          <w:sz w:val="24"/>
        </w:rPr>
        <w:t xml:space="preserve">.</w:t>
      </w:r>
      <w:r/>
    </w:p>
    <w:p w14:paraId="50B1B4E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 refresh token no debe poder utilizarse como access token.</w:t>
      </w:r>
      <w:r/>
    </w:p>
    <w:p w14:paraId="424DC53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 access token no debe utilizarse como refresh token.</w:t>
      </w:r>
      <w:r/>
    </w:p>
    <w:p w14:paraId="52A1B48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Los tokens deben ser validados antes de permitir el acceso al recurso solicitado.</w:t>
      </w:r>
      <w:r/>
    </w:p>
    <w:p w14:paraId="0322F72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28082EF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app/services/authentication/JWTService.py</w:t>
      </w:r>
      <w:r/>
    </w:p>
    <w:p w14:paraId="2C3E180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app/middleware/AuthMiddleware.py</w:t>
      </w:r>
      <w:r/>
    </w:p>
    <w:p w14:paraId="3F5C157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verify_token</w:t>
      </w:r>
      <w:r/>
    </w:p>
    <w:p w14:paraId="1D14CA1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evidencias/security/roles/roles_permisos.txt</w:t>
      </w:r>
      <w:r/>
    </w:p>
    <w:p w14:paraId="20FF2A0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Verificación funcional mediante solicitudes autenticadas y no autenticadas, complementada con revisión del código.</w:t>
      </w:r>
      <w:r/>
    </w:p>
    <w:p w14:paraId="288B402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33111376">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RNF-002 — Renovación silenciosa de sesión</w:t>
      </w:r>
      <w:r/>
    </w:p>
    <w:p w14:paraId="1DEC500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2918AD0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El sistema debe permitir la renovación automática del access token cuando este haya expirado. La renovación debe realizarse utilizando el refresh token disponible, evitando que el usuario tenga que iniciar sesión nuevamente mientras su sesión siga siendo v</w:t>
      </w:r>
      <w:r>
        <w:rPr>
          <w:rFonts w:ascii="Times New Roman" w:hAnsi="Times New Roman" w:eastAsia="Times New Roman" w:cs="Times New Roman"/>
          <w:color w:val="000000"/>
          <w:sz w:val="24"/>
        </w:rPr>
        <w:t xml:space="preserve">álida.</w:t>
      </w:r>
      <w:r/>
    </w:p>
    <w:p w14:paraId="6156D9A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proceso debe ser transparente para el usuario y el frontend debe encargarse de reintentar la solicitud que originalmente falló debido a la expiración del token.</w:t>
      </w:r>
      <w:r/>
    </w:p>
    <w:p w14:paraId="1F6AA2A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32F1539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Una solicitud cuyo access token haya expirado debe generar una respuesta </w:t>
      </w:r>
      <w:r>
        <w:rPr>
          <w:rFonts w:ascii="Courier New" w:hAnsi="Courier New" w:eastAsia="Courier New" w:cs="Courier New"/>
          <w:color w:val="000000"/>
          <w:sz w:val="20"/>
        </w:rPr>
        <w:t xml:space="preserve">401</w:t>
      </w:r>
      <w:r>
        <w:rPr>
          <w:rFonts w:ascii="Times New Roman" w:hAnsi="Times New Roman" w:eastAsia="Times New Roman" w:cs="Times New Roman"/>
          <w:color w:val="000000"/>
          <w:sz w:val="24"/>
        </w:rPr>
        <w:t xml:space="preserve">.</w:t>
      </w:r>
      <w:r/>
    </w:p>
    <w:p w14:paraId="74A89DB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cliente debe detectar la expiración.</w:t>
      </w:r>
      <w:r/>
    </w:p>
    <w:p w14:paraId="24A95DC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Debe solicitar automáticamente un nuevo access token mediante el refresh token.</w:t>
      </w:r>
      <w:r/>
    </w:p>
    <w:p w14:paraId="25D31EEB">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 solicitud original debe poder reintentarse después de obtener el nuevo token.</w:t>
      </w:r>
      <w:r/>
    </w:p>
    <w:p w14:paraId="41F6C08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usuario no debe tener que introducir nuevamente sus credenciales.</w:t>
      </w:r>
      <w:r/>
    </w:p>
    <w:p w14:paraId="1DAA13F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78BE554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app/services/authentication/RefreshTokenService.py</w:t>
      </w:r>
      <w:r/>
    </w:p>
    <w:p w14:paraId="2BF5E29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Endpoint </w:t>
      </w:r>
      <w:r>
        <w:rPr>
          <w:rFonts w:ascii="Courier New" w:hAnsi="Courier New" w:eastAsia="Courier New" w:cs="Courier New"/>
          <w:color w:val="000000"/>
          <w:sz w:val="20"/>
        </w:rPr>
        <w:t xml:space="preserve">POST /auth/refresh</w:t>
      </w:r>
      <w:r/>
    </w:p>
    <w:p w14:paraId="7167424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frontend/src/api/setupAuthInterceptor.ts</w:t>
      </w:r>
      <w:r/>
    </w:p>
    <w:p w14:paraId="6E150C6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Prueba funcional mediante renovación de token y revisión de la implementación del interceptor.</w:t>
      </w:r>
      <w:r/>
    </w:p>
    <w:p w14:paraId="0D0F1E2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3334AEA0">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RNF-003 — Autorización centralizada por rol y ruta</w:t>
      </w:r>
      <w:r/>
    </w:p>
    <w:p w14:paraId="4D31CDE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62FAD73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El sistema debe controlar el acceso a los diferentes recursos dependiendo del rol del usuario. La autorización debe estar centralizada y asociada a las rutas correspondientes, evitando que cualquier usuario autenticado pueda acceder a funcionalidades que n</w:t>
      </w:r>
      <w:r>
        <w:rPr>
          <w:rFonts w:ascii="Times New Roman" w:hAnsi="Times New Roman" w:eastAsia="Times New Roman" w:cs="Times New Roman"/>
          <w:color w:val="000000"/>
          <w:sz w:val="24"/>
        </w:rPr>
        <w:t xml:space="preserve">o le corresponden.</w:t>
      </w:r>
      <w:r/>
    </w:p>
    <w:p w14:paraId="0DAD364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Los permisos deben determinar qué prefijos o rutas puede utilizar cada rol dentro de la aplicación.</w:t>
      </w:r>
      <w:r/>
    </w:p>
    <w:p w14:paraId="579DFD7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7DCB874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 usuario autenticado debe poder acceder únicamente a las rutas permitidas para su rol.</w:t>
      </w:r>
      <w:r/>
    </w:p>
    <w:p w14:paraId="66CA179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 usuario que no tenga permisos suficientes debe recibir HTTP </w:t>
      </w:r>
      <w:r>
        <w:rPr>
          <w:rFonts w:ascii="Courier New" w:hAnsi="Courier New" w:eastAsia="Courier New" w:cs="Courier New"/>
          <w:color w:val="000000"/>
          <w:sz w:val="20"/>
        </w:rPr>
        <w:t xml:space="preserve">403</w:t>
      </w:r>
      <w:r>
        <w:rPr>
          <w:rFonts w:ascii="Times New Roman" w:hAnsi="Times New Roman" w:eastAsia="Times New Roman" w:cs="Times New Roman"/>
          <w:color w:val="000000"/>
          <w:sz w:val="24"/>
        </w:rPr>
        <w:t xml:space="preserve">.</w:t>
      </w:r>
      <w:r/>
    </w:p>
    <w:p w14:paraId="55099D9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 validación del permiso debe realizarse antes de ejecutar la lógica principal del endpoint.</w:t>
      </w:r>
      <w:r/>
    </w:p>
    <w:p w14:paraId="12F0644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Los roles administrativos deben disponer únicamente de las capacidades correspondientes a su nivel de privilegio.</w:t>
      </w:r>
      <w:r/>
    </w:p>
    <w:p w14:paraId="6031604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0D3EC9F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app/middleware/RolePermissions.py</w:t>
      </w:r>
      <w:r/>
    </w:p>
    <w:p w14:paraId="14C58DF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ROLES_PERMISSIONS_ROUTERS</w:t>
      </w:r>
      <w:r/>
    </w:p>
    <w:p w14:paraId="15952A1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FULL_ACCESS_ROLES</w:t>
      </w:r>
      <w:r/>
    </w:p>
    <w:p w14:paraId="5D9F23B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app/middleware/AuthMiddleware.py</w:t>
      </w:r>
      <w:r/>
    </w:p>
    <w:p w14:paraId="6AE7469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evidencias/security/roles/roles_permisos.txt</w:t>
      </w:r>
      <w:r/>
    </w:p>
    <w:p w14:paraId="601103D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Pruebas con diferentes roles y tokens mediante </w:t>
      </w:r>
      <w:r>
        <w:rPr>
          <w:rFonts w:ascii="Courier New" w:hAnsi="Courier New" w:eastAsia="Courier New" w:cs="Courier New"/>
          <w:color w:val="000000"/>
          <w:sz w:val="20"/>
        </w:rPr>
        <w:t xml:space="preserve">acceptance_smoke.sh</w:t>
      </w:r>
      <w:r>
        <w:rPr>
          <w:rFonts w:ascii="Times New Roman" w:hAnsi="Times New Roman" w:eastAsia="Times New Roman" w:cs="Times New Roman"/>
          <w:color w:val="000000"/>
          <w:sz w:val="24"/>
        </w:rPr>
        <w:t xml:space="preserve">, incluyendo los casos </w:t>
      </w:r>
      <w:r>
        <w:rPr>
          <w:rFonts w:ascii="Courier New" w:hAnsi="Courier New" w:eastAsia="Courier New" w:cs="Courier New"/>
          <w:color w:val="000000"/>
          <w:sz w:val="20"/>
        </w:rPr>
        <w:t xml:space="preserve">AC-AUTH-17</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AC-AUTH-17b</w:t>
      </w:r>
      <w:r>
        <w:rPr>
          <w:rFonts w:ascii="Times New Roman" w:hAnsi="Times New Roman" w:eastAsia="Times New Roman" w:cs="Times New Roman"/>
          <w:color w:val="000000"/>
          <w:sz w:val="24"/>
        </w:rPr>
        <w:t xml:space="preserve"> y </w:t>
      </w:r>
      <w:r>
        <w:rPr>
          <w:rFonts w:ascii="Courier New" w:hAnsi="Courier New" w:eastAsia="Courier New" w:cs="Courier New"/>
          <w:color w:val="000000"/>
          <w:sz w:val="20"/>
        </w:rPr>
        <w:t xml:space="preserve">AC-SEC</w:t>
      </w:r>
      <w:r>
        <w:rPr>
          <w:rFonts w:ascii="Times New Roman" w:hAnsi="Times New Roman" w:eastAsia="Times New Roman" w:cs="Times New Roman"/>
          <w:color w:val="000000"/>
          <w:sz w:val="24"/>
        </w:rPr>
        <w:t xml:space="preserve">.</w:t>
      </w:r>
      <w:r/>
    </w:p>
    <w:p w14:paraId="1D31E92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22E1FEBF">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RNF-004 — Verificación de pertenencia de los recursos</w:t>
      </w:r>
      <w:r/>
    </w:p>
    <w:p w14:paraId="12ADE05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522441C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RehniMarket debe garantizar que los usuarios y empresas únicamente puedan consultar, modificar o eliminar los recursos que realmente les pertenecen.</w:t>
      </w:r>
      <w:r/>
    </w:p>
    <w:p w14:paraId="73071D6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autorización no debe depender exclusivamente del rol. Además de comprobar que el usuario tenga permisos para realizar una operación, el sistema debe comprobar que el recurso solicitado pertenece al usuario o empresa que realiza la operación.</w:t>
      </w:r>
      <w:r/>
    </w:p>
    <w:p w14:paraId="707677A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Un usuario o empresa no debe poder acceder o modificar recursos pertenecientes a otro usuario o empresa, incluso si conoce el identificador del recurso.</w:t>
      </w:r>
      <w:r/>
    </w:p>
    <w:p w14:paraId="688592D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Esta restricción debe aplicarse, entre otros, a:</w:t>
      </w:r>
      <w:r/>
    </w:p>
    <w:p w14:paraId="75601CDB">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Pedidos.</w:t>
      </w:r>
      <w:r/>
    </w:p>
    <w:p w14:paraId="7280FFD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Direcciones.</w:t>
      </w:r>
      <w:r/>
    </w:p>
    <w:p w14:paraId="453F8F8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Productos.</w:t>
      </w:r>
      <w:r/>
    </w:p>
    <w:p w14:paraId="0C6D6F7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Cuentas bancarias.</w:t>
      </w:r>
      <w:r/>
    </w:p>
    <w:p w14:paraId="4D2BDC0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Recursos asociados a empresas.</w:t>
      </w:r>
      <w:r/>
    </w:p>
    <w:p w14:paraId="55998F2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372FB95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OrderRepository.get_user_order</w:t>
      </w:r>
      <w:r/>
    </w:p>
    <w:p w14:paraId="14BA8AE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OrderRepository.get_company_order</w:t>
      </w:r>
      <w:r/>
    </w:p>
    <w:p w14:paraId="5B9607F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Validación de </w:t>
      </w:r>
      <w:r>
        <w:rPr>
          <w:rFonts w:ascii="Courier New" w:hAnsi="Courier New" w:eastAsia="Courier New" w:cs="Courier New"/>
          <w:color w:val="000000"/>
          <w:sz w:val="20"/>
        </w:rPr>
        <w:t xml:space="preserve">user_id</w:t>
      </w:r>
      <w:r>
        <w:rPr>
          <w:rFonts w:ascii="Times New Roman" w:hAnsi="Times New Roman" w:eastAsia="Times New Roman" w:cs="Times New Roman"/>
          <w:color w:val="000000"/>
          <w:sz w:val="24"/>
        </w:rPr>
        <w:t xml:space="preserve">.</w:t>
      </w:r>
      <w:r/>
    </w:p>
    <w:p w14:paraId="5BEF252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Validación de </w:t>
      </w:r>
      <w:r>
        <w:rPr>
          <w:rFonts w:ascii="Courier New" w:hAnsi="Courier New" w:eastAsia="Courier New" w:cs="Courier New"/>
          <w:color w:val="000000"/>
          <w:sz w:val="20"/>
        </w:rPr>
        <w:t xml:space="preserve">company_id</w:t>
      </w:r>
      <w:r>
        <w:rPr>
          <w:rFonts w:ascii="Times New Roman" w:hAnsi="Times New Roman" w:eastAsia="Times New Roman" w:cs="Times New Roman"/>
          <w:color w:val="000000"/>
          <w:sz w:val="24"/>
        </w:rPr>
        <w:t xml:space="preserve">.</w:t>
      </w:r>
      <w:r/>
    </w:p>
    <w:p w14:paraId="5EA3D8B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delete_product_service</w:t>
      </w:r>
      <w:r>
        <w:rPr>
          <w:rFonts w:ascii="Times New Roman" w:hAnsi="Times New Roman" w:eastAsia="Times New Roman" w:cs="Times New Roman"/>
          <w:color w:val="000000"/>
          <w:sz w:val="24"/>
        </w:rPr>
        <w:t xml:space="preserve">.</w:t>
      </w:r>
      <w:r/>
    </w:p>
    <w:p w14:paraId="5D6DF0B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y comprobación de las condiciones de pertenencia implementadas en los servicios y repositorios.</w:t>
      </w:r>
      <w:r/>
    </w:p>
    <w:p w14:paraId="28F79D5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1BB897DC">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RNF-005 — Protección de contraseñas</w:t>
      </w:r>
      <w:r/>
    </w:p>
    <w:p w14:paraId="0E4E777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5B31979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Las contraseñas de los usuarios no deben almacenarse en texto plano. El sistema debe utilizar un mecanismo de hashing seguro que permita almacenar únicamente una representación irreversible de la contraseña.</w:t>
      </w:r>
      <w:r/>
    </w:p>
    <w:p w14:paraId="0665F2A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Para este propósito se utiliza bcrypt mediante las herramientas de seguridad configuradas en el backend.</w:t>
      </w:r>
      <w:r/>
    </w:p>
    <w:p w14:paraId="2A2C94E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44351CD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Ninguna contraseña debe almacenarse en texto plano.</w:t>
      </w:r>
      <w:r/>
    </w:p>
    <w:p w14:paraId="2DF1678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 base de datos debe almacenar únicamente el hash.</w:t>
      </w:r>
      <w:r/>
    </w:p>
    <w:p w14:paraId="1DCDB0E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 validación de una contraseña debe realizarse comparando el valor introducido con el hash almacenado.</w:t>
      </w:r>
      <w:r/>
    </w:p>
    <w:p w14:paraId="26320B2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No debe existir ningún endpoint que exponga la contraseña original.</w:t>
      </w:r>
      <w:r/>
    </w:p>
    <w:p w14:paraId="4C7C58E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br/>
      </w:r>
      <w:r>
        <w:rPr>
          <w:rFonts w:ascii="Courier New" w:hAnsi="Courier New" w:eastAsia="Courier New" w:cs="Courier New"/>
          <w:color w:val="000000"/>
          <w:sz w:val="20"/>
        </w:rPr>
        <w:t xml:space="preserve">app/utils/Security.py</w:t>
      </w:r>
      <w:r>
        <w:rPr>
          <w:rFonts w:ascii="Times New Roman" w:hAnsi="Times New Roman" w:eastAsia="Times New Roman" w:cs="Times New Roman"/>
          <w:color w:val="000000"/>
          <w:sz w:val="24"/>
        </w:rPr>
        <w:t xml:space="preserve">, específicamente las funciones:</w:t>
      </w:r>
      <w:r/>
    </w:p>
    <w:p w14:paraId="3E38EAA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hash_password</w:t>
      </w:r>
      <w:r/>
    </w:p>
    <w:p w14:paraId="6CA3363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verify_password</w:t>
      </w:r>
      <w:r/>
    </w:p>
    <w:p w14:paraId="2AAE1AF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implementación utiliza </w:t>
      </w:r>
      <w:r>
        <w:rPr>
          <w:rFonts w:ascii="Courier New" w:hAnsi="Courier New" w:eastAsia="Courier New" w:cs="Courier New"/>
          <w:color w:val="000000"/>
          <w:sz w:val="20"/>
        </w:rPr>
        <w:t xml:space="preserve">passlib</w:t>
      </w:r>
      <w:r>
        <w:rPr>
          <w:rFonts w:ascii="Times New Roman" w:hAnsi="Times New Roman" w:eastAsia="Times New Roman" w:cs="Times New Roman"/>
          <w:color w:val="000000"/>
          <w:sz w:val="24"/>
        </w:rPr>
        <w:t xml:space="preserve"> y bcrypt.</w:t>
      </w:r>
      <w:r/>
    </w:p>
    <w:p w14:paraId="0EFD6E9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y del mecanismo utilizado para generar y comprobar los hashes.</w:t>
      </w:r>
      <w:r/>
    </w:p>
    <w:p w14:paraId="2D895F1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3F3E1F38">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RNF-006 — Verificación obligatoria del correo electrónico</w:t>
      </w:r>
      <w:r/>
    </w:p>
    <w:p w14:paraId="0E3D933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09092B7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Las cuentas creadas en RehniMarket deben pasar por un proceso de verificación del correo electrónico antes de poder iniciar sesión normalmente.</w:t>
      </w:r>
      <w:r/>
    </w:p>
    <w:p w14:paraId="3580CF6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sistema debe comprobar el estado de verificación de la cuenta y evitar la emisión de tokens de autenticación cuando el correo electrónico aún no haya sido confirmado.</w:t>
      </w:r>
      <w:r/>
    </w:p>
    <w:p w14:paraId="4B6D7FE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375BE29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Una cuenta no verificada no debe poder iniciar sesión.</w:t>
      </w:r>
      <w:r/>
    </w:p>
    <w:p w14:paraId="433CE57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sistema debe informar explícitamente que la cuenta requiere verificación.</w:t>
      </w:r>
      <w:r/>
    </w:p>
    <w:p w14:paraId="255271A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No deben generarse tokens de sesión para una cuenta que no haya sido verificada.</w:t>
      </w:r>
      <w:r/>
    </w:p>
    <w:p w14:paraId="6E63131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 verificación debe realizarse mediante el mecanismo definido por el sistema.</w:t>
      </w:r>
      <w:r/>
    </w:p>
    <w:p w14:paraId="14D2D9B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7452B21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Campo </w:t>
      </w:r>
      <w:r>
        <w:rPr>
          <w:rFonts w:ascii="Courier New" w:hAnsi="Courier New" w:eastAsia="Courier New" w:cs="Courier New"/>
          <w:color w:val="000000"/>
          <w:sz w:val="20"/>
        </w:rPr>
        <w:t xml:space="preserve">ModelUser.verified</w:t>
      </w:r>
      <w:r/>
    </w:p>
    <w:p w14:paraId="6D60A91B">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LoginService.py</w:t>
      </w:r>
      <w:r/>
    </w:p>
    <w:p w14:paraId="55A2D49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evidencias/acceptance/resultados.txt</w:t>
      </w:r>
      <w:r/>
    </w:p>
    <w:p w14:paraId="21CFB73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Caso </w:t>
      </w:r>
      <w:r>
        <w:rPr>
          <w:rFonts w:ascii="Courier New" w:hAnsi="Courier New" w:eastAsia="Courier New" w:cs="Courier New"/>
          <w:color w:val="000000"/>
          <w:sz w:val="20"/>
        </w:rPr>
        <w:t xml:space="preserve">AC-AUTH-07a</w:t>
      </w:r>
      <w:r/>
    </w:p>
    <w:p w14:paraId="09E6D7F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Prueba funcional mediante una cuenta no verificada y revisión del comportamiento del servicio de autenticación.</w:t>
      </w:r>
      <w:r/>
    </w:p>
    <w:p w14:paraId="00AA015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70262AF2">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RNF-007 — Recuperación segura de contraseña mediante código de un solo uso</w:t>
      </w:r>
      <w:r/>
    </w:p>
    <w:p w14:paraId="210225A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5BB0D71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El sistema debe proporcionar un mecanismo seguro para recuperar el acceso a una cuenta cuando el usuario haya olvidado su contraseña.</w:t>
      </w:r>
      <w:r/>
    </w:p>
    <w:p w14:paraId="16D9EDD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recuperación debe realizarse mediante un código temporal enviado al correo electrónico registrado. El código debe tener una duración limitada y no debe poder utilizarse nuevamente después de haber sido consumido.</w:t>
      </w:r>
      <w:r/>
    </w:p>
    <w:p w14:paraId="59966C2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0474699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usuario debe poder iniciar el proceso de recuperación mediante su correo.</w:t>
      </w:r>
      <w:r/>
    </w:p>
    <w:p w14:paraId="4687823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código debe ser temporal.</w:t>
      </w:r>
      <w:r/>
    </w:p>
    <w:p w14:paraId="4D39A61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código debe ser de un solo uso.</w:t>
      </w:r>
      <w:r/>
    </w:p>
    <w:p w14:paraId="6BE6E9C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 código expirado no debe permitir restablecer la contraseña.</w:t>
      </w:r>
      <w:r/>
    </w:p>
    <w:p w14:paraId="48D7CFD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sistema no debe devolver ni exponer la contraseña anterior.</w:t>
      </w:r>
      <w:r/>
    </w:p>
    <w:p w14:paraId="69DD789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No debe existir ningún endpoint que entregue contraseñas en texto plano.</w:t>
      </w:r>
      <w:r/>
    </w:p>
    <w:p w14:paraId="0FBF790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3B30497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app/services/authentication/ForgotPasswordService.py</w:t>
      </w:r>
      <w:r/>
    </w:p>
    <w:p w14:paraId="6C6AC2B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app/services/authentication/ResetPasswordService.py</w:t>
      </w:r>
      <w:r/>
    </w:p>
    <w:p w14:paraId="6659AE6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app/models/ModelCode.py</w:t>
      </w:r>
      <w:r/>
    </w:p>
    <w:p w14:paraId="30A9C67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y comprobación del flujo de recuperación.</w:t>
      </w:r>
      <w:r/>
    </w:p>
    <w:p w14:paraId="3D6B42D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08D09F0A">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RNF-008 — Secretos y credenciales fuera del código fuente</w:t>
      </w:r>
      <w:r/>
    </w:p>
    <w:p w14:paraId="71C1C88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5A3BCD4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Las credenciales y secretos utilizados por RehniMarket deben mantenerse fuera del código fuente.</w:t>
      </w:r>
      <w:r/>
    </w:p>
    <w:p w14:paraId="30D2093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Las claves relacionadas con JWT, correo electrónico, base de datos, MinIO y otros servicios deben proporcionarse mediante variables de entorno, permitiendo modificar la configuración sin modificar el código de la aplicación.</w:t>
      </w:r>
      <w:r/>
    </w:p>
    <w:p w14:paraId="555CCD7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3B4DE4B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No deben existir credenciales reales escritas directamente en el código.</w:t>
      </w:r>
      <w:r/>
    </w:p>
    <w:p w14:paraId="7902752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Los secretos deben obtenerse mediante variables de entorno.</w:t>
      </w:r>
      <w:r/>
    </w:p>
    <w:p w14:paraId="74B7E56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Los archivos de ejemplo deben contener únicamente valores de referencia.</w:t>
      </w:r>
      <w:r/>
    </w:p>
    <w:p w14:paraId="19C73D2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Los archivos </w:t>
      </w:r>
      <w:r>
        <w:rPr>
          <w:rFonts w:ascii="Courier New" w:hAnsi="Courier New" w:eastAsia="Courier New" w:cs="Courier New"/>
          <w:color w:val="000000"/>
          <w:sz w:val="20"/>
        </w:rPr>
        <w:t xml:space="preserve">.env</w:t>
      </w:r>
      <w:r>
        <w:rPr>
          <w:rFonts w:ascii="Times New Roman" w:hAnsi="Times New Roman" w:eastAsia="Times New Roman" w:cs="Times New Roman"/>
          <w:color w:val="000000"/>
          <w:sz w:val="24"/>
        </w:rPr>
        <w:t xml:space="preserve"> reales deben excluirse del repositorio.</w:t>
      </w:r>
      <w:r/>
    </w:p>
    <w:p w14:paraId="059201D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60884AF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app/Config.py</w:t>
      </w:r>
      <w:r/>
    </w:p>
    <w:p w14:paraId="3CC588B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RehniMarket-backend/.env.example</w:t>
      </w:r>
      <w:r/>
    </w:p>
    <w:p w14:paraId="081184A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.gitignore</w:t>
      </w:r>
      <w:r/>
    </w:p>
    <w:p w14:paraId="4406EBE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.dockerignore</w:t>
      </w:r>
      <w:r/>
    </w:p>
    <w:p w14:paraId="103FDDB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archivos de configuración y reglas de exclusión del repositorio.</w:t>
      </w:r>
      <w:r/>
    </w:p>
    <w:p w14:paraId="2D0616F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2437FE32">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RNF-009 — Almacenamiento seguro de sesión en el cliente móvil</w:t>
      </w:r>
      <w:r/>
    </w:p>
    <w:p w14:paraId="5BB5AEA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21F02BB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 aplicación móvil debe almacenar los tokens de autenticación mediante mecanismos de almacenamiento seguro proporcionados por el sistema operativo.</w:t>
      </w:r>
      <w:r/>
    </w:p>
    <w:p w14:paraId="25F1BFB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Los tokens no deben almacenarse en mecanismos de almacenamiento plano que puedan exponer las credenciales de sesión.</w:t>
      </w:r>
      <w:r/>
    </w:p>
    <w:p w14:paraId="1592682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292C513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Los tokens deben almacenarse mediante SecureStore.</w:t>
      </w:r>
      <w:r/>
    </w:p>
    <w:p w14:paraId="584EDCC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No se debe almacenar la contraseña del usuario.</w:t>
      </w:r>
      <w:r/>
    </w:p>
    <w:p w14:paraId="1EB45CD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almacenamiento debe aprovechar los mecanismos de seguridad disponibles en Android e iOS.</w:t>
      </w:r>
      <w:r/>
    </w:p>
    <w:p w14:paraId="2C0561D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br/>
      </w:r>
      <w:r>
        <w:rPr>
          <w:rFonts w:ascii="Courier New" w:hAnsi="Courier New" w:eastAsia="Courier New" w:cs="Courier New"/>
          <w:color w:val="000000"/>
          <w:sz w:val="20"/>
        </w:rPr>
        <w:t xml:space="preserve">RehniMarket-mobile/src/api/session.ts</w:t>
      </w:r>
      <w:r/>
    </w:p>
    <w:p w14:paraId="3252BD0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aplicación utiliza </w:t>
      </w:r>
      <w:r>
        <w:rPr>
          <w:rFonts w:ascii="Courier New" w:hAnsi="Courier New" w:eastAsia="Courier New" w:cs="Courier New"/>
          <w:color w:val="000000"/>
          <w:sz w:val="20"/>
        </w:rPr>
        <w:t xml:space="preserve">expo-secure-store</w:t>
      </w:r>
      <w:r>
        <w:rPr>
          <w:rFonts w:ascii="Times New Roman" w:hAnsi="Times New Roman" w:eastAsia="Times New Roman" w:cs="Times New Roman"/>
          <w:color w:val="000000"/>
          <w:sz w:val="24"/>
        </w:rPr>
        <w:t xml:space="preserve">.</w:t>
      </w:r>
      <w:r/>
    </w:p>
    <w:p w14:paraId="3BE1A34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fuente de la aplicación móvil.</w:t>
      </w:r>
      <w:r/>
    </w:p>
    <w:p w14:paraId="2823E04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3938C455">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RNF-010 — Restricción de acciones administrativas sensibles</w:t>
      </w:r>
      <w:r/>
    </w:p>
    <w:p w14:paraId="0B65653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Seguridad</w:t>
      </w:r>
      <w:r/>
    </w:p>
    <w:p w14:paraId="79AAC89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Las acciones administrativas que puedan afectar cuentas con privilegios elevados deben estar protegidas mediante una validación adicional del nivel de privilegio.</w:t>
      </w:r>
      <w:r/>
    </w:p>
    <w:p w14:paraId="7D368A1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Las operaciones relacionadas con cuentas de administrador y propietario no deben depender únicamente de una comprobación superficial del rol.</w:t>
      </w:r>
      <w:r/>
    </w:p>
    <w:p w14:paraId="6C38C9D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Una cuenta con rol administrador que no tenga privilegios de propietario no debe poder:</w:t>
      </w:r>
      <w:r/>
    </w:p>
    <w:p w14:paraId="01F8512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Modificar cuentas de propietario.</w:t>
      </w:r>
      <w:r/>
    </w:p>
    <w:p w14:paraId="4FAF3B4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Bloquear cuentas de propietario.</w:t>
      </w:r>
      <w:r/>
    </w:p>
    <w:p w14:paraId="7CEDF26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Asignar el rol de propietario.</w:t>
      </w:r>
      <w:r/>
    </w:p>
    <w:p w14:paraId="17FBAB4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Ejecutar operaciones reservadas exclusivamente al propietario.</w:t>
      </w:r>
      <w:r/>
    </w:p>
    <w:p w14:paraId="3450F5B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br/>
      </w:r>
      <w:r>
        <w:rPr>
          <w:rFonts w:ascii="Courier New" w:hAnsi="Courier New" w:eastAsia="Courier New" w:cs="Courier New"/>
          <w:color w:val="000000"/>
          <w:sz w:val="20"/>
        </w:rPr>
        <w:t xml:space="preserve">app/services/DashboardService/admin/UserService.py</w:t>
      </w:r>
      <w:r/>
    </w:p>
    <w:p w14:paraId="730CB8A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y caso presencial </w:t>
      </w:r>
      <w:r>
        <w:rPr>
          <w:rFonts w:ascii="Courier New" w:hAnsi="Courier New" w:eastAsia="Courier New" w:cs="Courier New"/>
          <w:color w:val="000000"/>
          <w:sz w:val="20"/>
        </w:rPr>
        <w:t xml:space="preserve">P-ADM-04</w:t>
      </w:r>
      <w:r>
        <w:rPr>
          <w:rFonts w:ascii="Times New Roman" w:hAnsi="Times New Roman" w:eastAsia="Times New Roman" w:cs="Times New Roman"/>
          <w:color w:val="000000"/>
          <w:sz w:val="24"/>
        </w:rPr>
        <w:t xml:space="preserve">.</w:t>
      </w:r>
      <w:r/>
    </w:p>
    <w:p w14:paraId="7427BC6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227C064A">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2. Rendimiento</w:t>
      </w:r>
      <w:r/>
    </w:p>
    <w:p w14:paraId="709CC04D">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RNF-011 — Paginación en listados de alto volumen</w:t>
      </w:r>
      <w:r/>
    </w:p>
    <w:p w14:paraId="2D0AFDF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Rendimiento</w:t>
      </w:r>
      <w:r/>
    </w:p>
    <w:p w14:paraId="05539BB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Los recursos que puedan contener grandes cantidades de registros deben utilizar mecanismos de paginación. El sistema no debe devolver todos los registros disponibles en una única respuesta.</w:t>
      </w:r>
      <w:r/>
    </w:p>
    <w:p w14:paraId="6B4BC38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paginación debe permitir controlar la cantidad de información retornada y facilitar el procesamiento tanto en el backend como en los clientes web y móvil.</w:t>
      </w:r>
      <w:r/>
    </w:p>
    <w:p w14:paraId="6CBB260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Debe aplicarse especialmente a listados como:</w:t>
      </w:r>
      <w:r/>
    </w:p>
    <w:p w14:paraId="30B7E26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Pedidos.</w:t>
      </w:r>
      <w:r/>
    </w:p>
    <w:p w14:paraId="6D78C36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Usuarios.</w:t>
      </w:r>
      <w:r/>
    </w:p>
    <w:p w14:paraId="16BA0E9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Empresas.</w:t>
      </w:r>
      <w:r/>
    </w:p>
    <w:p w14:paraId="32C9959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Reseñas.</w:t>
      </w:r>
      <w:r/>
    </w:p>
    <w:p w14:paraId="3698DB2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Reportes.</w:t>
      </w:r>
      <w:r/>
    </w:p>
    <w:p w14:paraId="7C234CF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Movimientos de billetera.</w:t>
      </w:r>
      <w:r/>
    </w:p>
    <w:p w14:paraId="0D0FAC8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Las respuestas de los listados deben proporcionar información relacionada con:</w:t>
      </w:r>
      <w:r/>
    </w:p>
    <w:p w14:paraId="21BA01A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Página actual.</w:t>
      </w:r>
      <w:r/>
    </w:p>
    <w:p w14:paraId="2B98A30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Límite de registros.</w:t>
      </w:r>
      <w:r/>
    </w:p>
    <w:p w14:paraId="74791FF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Cantidad total de registros.</w:t>
      </w:r>
      <w:r/>
    </w:p>
    <w:p w14:paraId="41981F3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Además, debe existir un límite que impida solicitar cantidades excesivamente grandes de registros.</w:t>
      </w:r>
      <w:r/>
    </w:p>
    <w:p w14:paraId="625825A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55A8AAB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PaginatedResponse</w:t>
      </w:r>
      <w:r>
        <w:rPr>
          <w:rFonts w:ascii="Times New Roman" w:hAnsi="Times New Roman" w:eastAsia="Times New Roman" w:cs="Times New Roman"/>
          <w:color w:val="000000"/>
          <w:sz w:val="24"/>
        </w:rPr>
        <w:t xml:space="preserve"> en </w:t>
      </w:r>
      <w:r>
        <w:rPr>
          <w:rFonts w:ascii="Courier New" w:hAnsi="Courier New" w:eastAsia="Courier New" w:cs="Courier New"/>
          <w:color w:val="000000"/>
          <w:sz w:val="20"/>
        </w:rPr>
        <w:t xml:space="preserve">app/schemas/</w:t>
      </w:r>
      <w:r/>
    </w:p>
    <w:p w14:paraId="2CEFC8D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Parámetros </w:t>
      </w:r>
      <w:r>
        <w:rPr>
          <w:rFonts w:ascii="Courier New" w:hAnsi="Courier New" w:eastAsia="Courier New" w:cs="Courier New"/>
          <w:color w:val="000000"/>
          <w:sz w:val="20"/>
        </w:rPr>
        <w:t xml:space="preserve">page</w:t>
      </w:r>
      <w:r>
        <w:rPr>
          <w:rFonts w:ascii="Times New Roman" w:hAnsi="Times New Roman" w:eastAsia="Times New Roman" w:cs="Times New Roman"/>
          <w:color w:val="000000"/>
          <w:sz w:val="24"/>
        </w:rPr>
        <w:t xml:space="preserve"> y </w:t>
      </w:r>
      <w:r>
        <w:rPr>
          <w:rFonts w:ascii="Courier New" w:hAnsi="Courier New" w:eastAsia="Courier New" w:cs="Courier New"/>
          <w:color w:val="000000"/>
          <w:sz w:val="20"/>
        </w:rPr>
        <w:t xml:space="preserve">limit</w:t>
      </w:r>
      <w:r>
        <w:rPr>
          <w:rFonts w:ascii="Times New Roman" w:hAnsi="Times New Roman" w:eastAsia="Times New Roman" w:cs="Times New Roman"/>
          <w:color w:val="000000"/>
          <w:sz w:val="24"/>
        </w:rPr>
        <w:t xml:space="preserve"> en los repositorios.</w:t>
      </w:r>
      <w:r/>
    </w:p>
    <w:p w14:paraId="2E402DA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y comprobación de los parámetros de paginación.</w:t>
      </w:r>
      <w:r/>
    </w:p>
    <w:p w14:paraId="0E71E91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No se consideran tiempos de respuesta como criterio obligatorio de este RNF, ya que el documento fuente no establece un objetivo de rendimiento específico.</w:t>
      </w:r>
      <w:r/>
    </w:p>
    <w:p w14:paraId="435874C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6F1D0644">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RNF-012 — Consultas agrupadas para contadores</w:t>
      </w:r>
      <w:r/>
    </w:p>
    <w:p w14:paraId="529DF7F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Rendimiento</w:t>
      </w:r>
      <w:r/>
    </w:p>
    <w:p w14:paraId="6974A4A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Los contadores que agrupen información por estado, categoría o entidad deben calcularse mediante consultas agrupadas, evitando realizar múltiples consultas independientes para obtener cada contador.</w:t>
      </w:r>
      <w:r/>
    </w:p>
    <w:p w14:paraId="3911AC0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Esta estrategia busca reducir el número de operaciones realizadas contra la base de datos y mejorar la eficiencia de los servicios.</w:t>
      </w:r>
      <w:r/>
    </w:p>
    <w:p w14:paraId="7C2B985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Un conjunto de contadores relacionados debe poder obtenerse mediante una consulta agrupada utilizando mecanismos como </w:t>
      </w:r>
      <w:r>
        <w:rPr>
          <w:rFonts w:ascii="Courier New" w:hAnsi="Courier New" w:eastAsia="Courier New" w:cs="Courier New"/>
          <w:color w:val="000000"/>
          <w:sz w:val="20"/>
        </w:rPr>
        <w:t xml:space="preserve">GROUP BY</w:t>
      </w:r>
      <w:r>
        <w:rPr>
          <w:rFonts w:ascii="Times New Roman" w:hAnsi="Times New Roman" w:eastAsia="Times New Roman" w:cs="Times New Roman"/>
          <w:color w:val="000000"/>
          <w:sz w:val="24"/>
        </w:rPr>
        <w:t xml:space="preserve">, evitando ejecutar una consulta individual dentro de un ciclo.</w:t>
      </w:r>
      <w:r/>
    </w:p>
    <w:p w14:paraId="7923887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3585AB6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OrderRepository.count_company_orders_by_status</w:t>
      </w:r>
      <w:r/>
    </w:p>
    <w:p w14:paraId="1A258EA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publicService/Products.py</w:t>
      </w:r>
      <w:r/>
    </w:p>
    <w:p w14:paraId="01693F5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get_catalogs_service</w:t>
      </w:r>
      <w:r/>
    </w:p>
    <w:p w14:paraId="515B009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Cálculo de </w:t>
      </w:r>
      <w:r>
        <w:rPr>
          <w:rFonts w:ascii="Courier New" w:hAnsi="Courier New" w:eastAsia="Courier New" w:cs="Courier New"/>
          <w:color w:val="000000"/>
          <w:sz w:val="20"/>
        </w:rPr>
        <w:t xml:space="preserve">product_count</w:t>
      </w:r>
      <w:r/>
    </w:p>
    <w:p w14:paraId="61C8B76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y análisis de las consultas realizadas por los repositorios y servicios.</w:t>
      </w:r>
      <w:r/>
    </w:p>
    <w:p w14:paraId="78BE0C9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68C360E3">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3. Usabilidad</w:t>
      </w:r>
      <w:r/>
    </w:p>
    <w:p w14:paraId="021B2924">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RNF-013 — Contrato consistente de errores entre backend y frontend</w:t>
      </w:r>
      <w:r/>
    </w:p>
    <w:p w14:paraId="399BA1A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Usabilidad</w:t>
      </w:r>
      <w:r/>
    </w:p>
    <w:p w14:paraId="2055A23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Los errores generados por las operaciones de negocio deben mantener una estructura uniforme entre el backend y los diferentes clientes de RehniMarket.</w:t>
      </w:r>
      <w:r/>
    </w:p>
    <w:p w14:paraId="7D73C6C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Cada error debe proporcionar información que permita al frontend identificar de manera consistente qué tipo de error ocurrió y mostrar la respuesta correspondiente al usuario.</w:t>
      </w:r>
      <w:r/>
    </w:p>
    <w:p w14:paraId="3BA5D8C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Los errores de negocio deben proporcionar como mínimo:</w:t>
      </w:r>
      <w:r/>
    </w:p>
    <w:p w14:paraId="4BC8451A">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 código identificador del error.</w:t>
      </w:r>
      <w:r/>
    </w:p>
    <w:p w14:paraId="49287B7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 mensaje descriptivo.</w:t>
      </w:r>
      <w:r/>
    </w:p>
    <w:p w14:paraId="05E2DC0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código debe pertenecer al catálogo compartido de errores y no debe depender exclusivamente de mensajes de texto libres.</w:t>
      </w:r>
      <w:r/>
    </w:p>
    <w:p w14:paraId="5400293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562AAD0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app/core/ErrorCodes.py</w:t>
      </w:r>
      <w:r/>
    </w:p>
    <w:p w14:paraId="7AA10FF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app/core/Exceptions.py</w:t>
      </w:r>
      <w:r/>
    </w:p>
    <w:p w14:paraId="2204CE1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api_error</w:t>
      </w:r>
      <w:r/>
    </w:p>
    <w:p w14:paraId="1202A99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frontend/src/shared/types/ErrorCode.ts</w:t>
      </w:r>
      <w:r/>
    </w:p>
    <w:p w14:paraId="4EAAF7F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Pruebas funcionales mediante </w:t>
      </w:r>
      <w:r>
        <w:rPr>
          <w:rFonts w:ascii="Courier New" w:hAnsi="Courier New" w:eastAsia="Courier New" w:cs="Courier New"/>
          <w:color w:val="000000"/>
          <w:sz w:val="20"/>
        </w:rPr>
        <w:t xml:space="preserve">acceptance_smoke.sh</w:t>
      </w:r>
      <w:r>
        <w:rPr>
          <w:rFonts w:ascii="Times New Roman" w:hAnsi="Times New Roman" w:eastAsia="Times New Roman" w:cs="Times New Roman"/>
          <w:color w:val="000000"/>
          <w:sz w:val="24"/>
        </w:rPr>
        <w:t xml:space="preserve"> y revisión de los códigos de error.</w:t>
      </w:r>
      <w:r/>
    </w:p>
    <w:p w14:paraId="78C8614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2CCD7E35">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RNF-014 — Restauración del contexto después del inicio de sesión</w:t>
      </w:r>
      <w:r/>
    </w:p>
    <w:p w14:paraId="6BE62D7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Usabilidad</w:t>
      </w:r>
      <w:r/>
    </w:p>
    <w:p w14:paraId="0F0DEF9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Cuando un usuario intente ejecutar una acción que requiera autenticación, el sistema debe conservar el contexto de la acción antes de enviarlo al proceso de inicio de sesión.</w:t>
      </w:r>
      <w:r/>
    </w:p>
    <w:p w14:paraId="5802AC7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Una vez autenticado, el usuario debe regresar a la pantalla o acción desde la que inició el proceso, evitando que tenga que repetir manualmente la operación.</w:t>
      </w:r>
      <w:r/>
    </w:p>
    <w:p w14:paraId="731E204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Después de iniciar sesión, el sistema debe restaurar la pantalla o acción protegida desde la cual el usuario fue redirigido.</w:t>
      </w:r>
      <w:r/>
    </w:p>
    <w:p w14:paraId="7978E1A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contexto puede incluir elementos como:</w:t>
      </w:r>
      <w:r/>
    </w:p>
    <w:p w14:paraId="45C9509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Producto consultado.</w:t>
      </w:r>
      <w:r/>
    </w:p>
    <w:p w14:paraId="6684BDB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Variante seleccionada.</w:t>
      </w:r>
      <w:r/>
    </w:p>
    <w:p w14:paraId="6319808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Cantidad.</w:t>
      </w:r>
      <w:r/>
    </w:p>
    <w:p w14:paraId="42EE998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Pantalla actual.</w:t>
      </w:r>
      <w:r/>
    </w:p>
    <w:p w14:paraId="49E239D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Acción que el usuario intentaba realizar.</w:t>
      </w:r>
      <w:r/>
    </w:p>
    <w:p w14:paraId="17140E3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br/>
        <w:t xml:space="preserve">Web:</w:t>
      </w:r>
      <w:r/>
    </w:p>
    <w:p w14:paraId="4F97AF2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src/api/session.ts</w:t>
      </w:r>
      <w:r/>
    </w:p>
    <w:p w14:paraId="27887EF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postLoginRedirect</w:t>
      </w:r>
      <w:r/>
    </w:p>
    <w:p w14:paraId="376858B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Móvil:</w:t>
      </w:r>
      <w:r/>
    </w:p>
    <w:p w14:paraId="4E426CB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src/api/session.ts</w:t>
      </w:r>
      <w:r/>
    </w:p>
    <w:p w14:paraId="25AA53B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PendingAction</w:t>
      </w:r>
      <w:r/>
    </w:p>
    <w:p w14:paraId="47B3AF5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useRequireUser.ts</w:t>
      </w:r>
      <w:r/>
    </w:p>
    <w:p w14:paraId="20A2B18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y caso presencial </w:t>
      </w:r>
      <w:r>
        <w:rPr>
          <w:rFonts w:ascii="Courier New" w:hAnsi="Courier New" w:eastAsia="Courier New" w:cs="Courier New"/>
          <w:color w:val="000000"/>
          <w:sz w:val="20"/>
        </w:rPr>
        <w:t xml:space="preserve">N-04</w:t>
      </w:r>
      <w:r>
        <w:rPr>
          <w:rFonts w:ascii="Times New Roman" w:hAnsi="Times New Roman" w:eastAsia="Times New Roman" w:cs="Times New Roman"/>
          <w:color w:val="000000"/>
          <w:sz w:val="24"/>
        </w:rPr>
        <w:t xml:space="preserve">.</w:t>
      </w:r>
      <w:r/>
    </w:p>
    <w:p w14:paraId="02263DC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2458FD0D">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4. Disponibilidad</w:t>
      </w:r>
      <w:r/>
    </w:p>
    <w:p w14:paraId="60EC488D">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RNF-015 — Verificación de salud del backend y conectividad</w:t>
      </w:r>
      <w:r/>
    </w:p>
    <w:p w14:paraId="4AD5151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Disponibilidad</w:t>
      </w:r>
      <w:r/>
    </w:p>
    <w:p w14:paraId="0BB8D44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RehniMarket debe proporcionar mecanismos que permitan comprobar el estado de los servicios principales del backend.</w:t>
      </w:r>
      <w:r/>
    </w:p>
    <w:p w14:paraId="0A005F9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Estos mecanismos deben permitir determinar si la aplicación puede comunicarse correctamente con componentes necesarios como la base de datos y la red.</w:t>
      </w:r>
      <w:r/>
    </w:p>
    <w:p w14:paraId="5A0BA8B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Los endpoints de salud deben estar disponibles sin necesidad de autenticación para facilitar su utilización en verificaciones de infraestructura.</w:t>
      </w:r>
      <w:r/>
    </w:p>
    <w:p w14:paraId="78A1F35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Los endpoints de salud deben:</w:t>
      </w:r>
      <w:r/>
    </w:p>
    <w:p w14:paraId="193B987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Ser accesibles sin autenticación.</w:t>
      </w:r>
      <w:r/>
    </w:p>
    <w:p w14:paraId="6A23AD1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Responder con un estado explícito.</w:t>
      </w:r>
      <w:r/>
    </w:p>
    <w:p w14:paraId="02E6E0E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Permitir identificar si el servicio consultado funciona correctamente.</w:t>
      </w:r>
      <w:r/>
    </w:p>
    <w:p w14:paraId="0B759AC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Permitir detectar problemas de conectividad con la base de datos o Internet.</w:t>
      </w:r>
      <w:r/>
    </w:p>
    <w:p w14:paraId="4640A17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br/>
      </w:r>
      <w:r>
        <w:rPr>
          <w:rFonts w:ascii="Courier New" w:hAnsi="Courier New" w:eastAsia="Courier New" w:cs="Courier New"/>
          <w:color w:val="000000"/>
          <w:sz w:val="20"/>
        </w:rPr>
        <w:t xml:space="preserve">app/routers/HealthRouter.py</w:t>
      </w:r>
      <w:r/>
    </w:p>
    <w:p w14:paraId="1FAA7D1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Endpoints:</w:t>
      </w:r>
      <w:r/>
    </w:p>
    <w:p w14:paraId="2CD063EA">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/health/database</w:t>
      </w:r>
      <w:r/>
    </w:p>
    <w:p w14:paraId="7FF7BF9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/health/internet</w:t>
      </w:r>
      <w:r/>
    </w:p>
    <w:p w14:paraId="7AD25E5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También se dispone de:</w:t>
      </w:r>
      <w:r/>
    </w:p>
    <w:p w14:paraId="2EFFA257">
      <w:pPr>
        <w:pBdr>
          <w:top w:val="none" w:color="000000" w:sz="4" w:space="0"/>
          <w:left w:val="none" w:color="000000" w:sz="4" w:space="0"/>
          <w:bottom w:val="none" w:color="000000" w:sz="4" w:space="0"/>
          <w:right w:val="none" w:color="000000" w:sz="4" w:space="0"/>
        </w:pBdr>
        <w:spacing/>
        <w:ind w:right="0" w:firstLine="0" w:left="0"/>
        <w:jc w:val="left"/>
        <w:rPr/>
      </w:pPr>
      <w:r>
        <w:rPr>
          <w:rFonts w:ascii="Courier New" w:hAnsi="Courier New" w:eastAsia="Courier New" w:cs="Courier New"/>
          <w:color w:val="000000"/>
          <w:sz w:val="20"/>
        </w:rPr>
        <w:t xml:space="preserve">evidencias/deployment/03_health_endpoints.txt</w:t>
      </w:r>
      <w:r/>
    </w:p>
    <w:p w14:paraId="06648EA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Ejecución mediante </w:t>
      </w:r>
      <w:r>
        <w:rPr>
          <w:rFonts w:ascii="Courier New" w:hAnsi="Courier New" w:eastAsia="Courier New" w:cs="Courier New"/>
          <w:color w:val="000000"/>
          <w:sz w:val="20"/>
        </w:rPr>
        <w:t xml:space="preserve">curl</w:t>
      </w:r>
      <w:r>
        <w:rPr>
          <w:rFonts w:ascii="Times New Roman" w:hAnsi="Times New Roman" w:eastAsia="Times New Roman" w:cs="Times New Roman"/>
          <w:color w:val="000000"/>
          <w:sz w:val="24"/>
        </w:rPr>
        <w:t xml:space="preserve">, verificada el </w:t>
      </w:r>
      <w:r>
        <w:rPr>
          <w:rFonts w:ascii="Times New Roman" w:hAnsi="Times New Roman" w:eastAsia="Times New Roman" w:cs="Times New Roman"/>
          <w:b/>
          <w:color w:val="000000"/>
          <w:sz w:val="24"/>
        </w:rPr>
        <w:t xml:space="preserve">31 de agosto de 2026</w:t>
      </w:r>
      <w:r>
        <w:rPr>
          <w:rFonts w:ascii="Times New Roman" w:hAnsi="Times New Roman" w:eastAsia="Times New Roman" w:cs="Times New Roman"/>
          <w:color w:val="000000"/>
          <w:sz w:val="24"/>
        </w:rPr>
        <w:t xml:space="preserve">.</w:t>
      </w:r>
      <w:r/>
    </w:p>
    <w:p w14:paraId="2B74170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61EB3299">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5. Confiabilidad</w:t>
      </w:r>
      <w:r/>
    </w:p>
    <w:p w14:paraId="39E40EE6">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RNF-016 — Reinicio automático de los servicios ante fallos</w:t>
      </w:r>
      <w:r/>
    </w:p>
    <w:p w14:paraId="1893F78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Confiabilidad</w:t>
      </w:r>
      <w:r/>
    </w:p>
    <w:p w14:paraId="0BE7C05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Los servicios principales de RehniMarket deben contar con una política de reinicio automático para reducir el tiempo de indisponibilidad producido por fallos inesperados de los contenedores.</w:t>
      </w:r>
      <w:r/>
    </w:p>
    <w:p w14:paraId="07D9D32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Esta configuración debe aplicarse a los servicios principales de la infraestructura, incluyendo:</w:t>
      </w:r>
      <w:r/>
    </w:p>
    <w:p w14:paraId="2A4C734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PostgreSQL.</w:t>
      </w:r>
      <w:r/>
    </w:p>
    <w:p w14:paraId="54BAD2F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MinIO.</w:t>
      </w:r>
      <w:r/>
    </w:p>
    <w:p w14:paraId="1E22BAC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Backend.</w:t>
      </w:r>
      <w:r/>
    </w:p>
    <w:p w14:paraId="76C1847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Los servicios correspondientes definidos en Docker Compose.</w:t>
      </w:r>
      <w:r/>
    </w:p>
    <w:p w14:paraId="6CFB6A0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Los servicios deben contar con una política de reinicio definida.</w:t>
      </w:r>
      <w:r/>
    </w:p>
    <w:p w14:paraId="36A1325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En el entorno de desarrollo se utiliza </w:t>
      </w:r>
      <w:r>
        <w:rPr>
          <w:rFonts w:ascii="Courier New" w:hAnsi="Courier New" w:eastAsia="Courier New" w:cs="Courier New"/>
          <w:color w:val="000000"/>
          <w:sz w:val="20"/>
        </w:rPr>
        <w:t xml:space="preserve">restart: always</w:t>
      </w:r>
      <w:r>
        <w:rPr>
          <w:rFonts w:ascii="Times New Roman" w:hAnsi="Times New Roman" w:eastAsia="Times New Roman" w:cs="Times New Roman"/>
          <w:color w:val="000000"/>
          <w:sz w:val="24"/>
        </w:rPr>
        <w:t xml:space="preserve">, mientras que en la configuración de producción se utiliza </w:t>
      </w:r>
      <w:r>
        <w:rPr>
          <w:rFonts w:ascii="Courier New" w:hAnsi="Courier New" w:eastAsia="Courier New" w:cs="Courier New"/>
          <w:color w:val="000000"/>
          <w:sz w:val="20"/>
        </w:rPr>
        <w:t xml:space="preserve">restart: unless-stopped</w:t>
      </w:r>
      <w:r>
        <w:rPr>
          <w:rFonts w:ascii="Times New Roman" w:hAnsi="Times New Roman" w:eastAsia="Times New Roman" w:cs="Times New Roman"/>
          <w:color w:val="000000"/>
          <w:sz w:val="24"/>
        </w:rPr>
        <w:t xml:space="preserve">.</w:t>
      </w:r>
      <w:r/>
    </w:p>
    <w:p w14:paraId="08D3FEA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21068F3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docker-compose.yml</w:t>
      </w:r>
      <w:r/>
    </w:p>
    <w:p w14:paraId="45323DD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Configuración de </w:t>
      </w:r>
      <w:r>
        <w:rPr>
          <w:rFonts w:ascii="Courier New" w:hAnsi="Courier New" w:eastAsia="Courier New" w:cs="Courier New"/>
          <w:color w:val="000000"/>
          <w:sz w:val="20"/>
        </w:rPr>
        <w:t xml:space="preserve">restart: always</w:t>
      </w:r>
      <w:r/>
    </w:p>
    <w:p w14:paraId="7648F82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Configuración de producción con </w:t>
      </w:r>
      <w:r>
        <w:rPr>
          <w:rFonts w:ascii="Courier New" w:hAnsi="Courier New" w:eastAsia="Courier New" w:cs="Courier New"/>
          <w:color w:val="000000"/>
          <w:sz w:val="20"/>
        </w:rPr>
        <w:t xml:space="preserve">restart: unless-stopped</w:t>
      </w:r>
      <w:r/>
    </w:p>
    <w:p w14:paraId="1290744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 la configuración de Docker Compose.</w:t>
      </w:r>
      <w:r/>
    </w:p>
    <w:p w14:paraId="36BF23A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0C92E351">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RNF-017 — Atomicidad e idempotencia en operaciones financieras críticas</w:t>
      </w:r>
      <w:r/>
    </w:p>
    <w:p w14:paraId="676802B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Confiabilidad</w:t>
      </w:r>
      <w:r/>
    </w:p>
    <w:p w14:paraId="50B2667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Las operaciones financieras críticas de RehniMarket deben ejecutarse de manera que una operación no pueda quedar parcialmente aplicada.</w:t>
      </w:r>
      <w:r/>
    </w:p>
    <w:p w14:paraId="7A9CDB9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sistema debe garantizar la atomicidad de procesos como el checkout y los reembolsos, así como la idempotencia de operaciones que puedan ser ejecutadas nuevamente debido a un reintento o fallo.</w:t>
      </w:r>
      <w:r/>
    </w:p>
    <w:p w14:paraId="27B4541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sistema también debe controlar situaciones de concurrencia relacionadas con el inventario.</w:t>
      </w:r>
      <w:r/>
    </w:p>
    <w:p w14:paraId="3E8334C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692939E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Un reembolso no debe ejecutarse dos veces sobre el mismo pedido.</w:t>
      </w:r>
      <w:r/>
    </w:p>
    <w:p w14:paraId="167ABB8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Reintentar una operación ya completada no debe producir un segundo reembolso.</w:t>
      </w:r>
      <w:r/>
    </w:p>
    <w:p w14:paraId="2AD191AB">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Si una operación financiera falla, la transacción debe revertirse.</w:t>
      </w:r>
      <w:r/>
    </w:p>
    <w:p w14:paraId="7F0E228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checkout debe controlar la reserva del stock.</w:t>
      </w:r>
      <w:r/>
    </w:p>
    <w:p w14:paraId="51A7D80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Si dos usuarios intentan comprar simultáneamente la última unidad disponible, únicamente una operación debe completarse correctamente.</w:t>
      </w:r>
      <w:r/>
    </w:p>
    <w:p w14:paraId="3B2BF22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07C06DDA">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OrderService.cancel_and_refund_company_orders_for_suspension</w:t>
      </w:r>
      <w:r/>
    </w:p>
    <w:p w14:paraId="28C0402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WalletRepository.has_order_been_refunded</w:t>
      </w:r>
      <w:r/>
    </w:p>
    <w:p w14:paraId="0786575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CheckoutService.py</w:t>
      </w:r>
      <w:r/>
    </w:p>
    <w:p w14:paraId="16C5507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tests/test_public_and_commerce.py</w:t>
      </w:r>
      <w:r/>
    </w:p>
    <w:p w14:paraId="564BB18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Prueba </w:t>
      </w:r>
      <w:r>
        <w:rPr>
          <w:rFonts w:ascii="Courier New" w:hAnsi="Courier New" w:eastAsia="Courier New" w:cs="Courier New"/>
          <w:color w:val="000000"/>
          <w:sz w:val="20"/>
        </w:rPr>
        <w:t xml:space="preserve">test_concurrent_checkout_of_last_unit_lets_only_one_win</w:t>
      </w:r>
      <w:r/>
    </w:p>
    <w:p w14:paraId="377972E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Pruebas automatizadas.</w:t>
      </w:r>
      <w:r/>
    </w:p>
    <w:p w14:paraId="3E56A5B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Resultado:</w:t>
      </w:r>
      <w:r>
        <w:rPr>
          <w:rFonts w:ascii="Times New Roman" w:hAnsi="Times New Roman" w:eastAsia="Times New Roman" w:cs="Times New Roman"/>
          <w:color w:val="000000"/>
          <w:sz w:val="24"/>
        </w:rPr>
        <w:t xml:space="preserve"> </w:t>
      </w:r>
      <w:r>
        <w:rPr>
          <w:rFonts w:ascii="Courier New" w:hAnsi="Courier New" w:eastAsia="Courier New" w:cs="Courier New"/>
          <w:color w:val="000000"/>
          <w:sz w:val="20"/>
        </w:rPr>
        <w:t xml:space="preserve">113/113</w:t>
      </w:r>
      <w:r>
        <w:rPr>
          <w:rFonts w:ascii="Times New Roman" w:hAnsi="Times New Roman" w:eastAsia="Times New Roman" w:cs="Times New Roman"/>
          <w:color w:val="000000"/>
          <w:sz w:val="24"/>
        </w:rPr>
        <w:t xml:space="preserve"> pruebas ejecutadas correctamente.</w:t>
      </w:r>
      <w:r/>
    </w:p>
    <w:p w14:paraId="0CC3D00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 y verificado</w:t>
      </w:r>
      <w:r/>
    </w:p>
    <w:p w14:paraId="1E3CF459">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6. Mantenibilidad</w:t>
      </w:r>
      <w:r/>
    </w:p>
    <w:p w14:paraId="23D1EA62">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RNF-018 — Arquitectura en capas consistente</w:t>
      </w:r>
      <w:r/>
    </w:p>
    <w:p w14:paraId="24B4133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Mantenibilidad</w:t>
      </w:r>
      <w:r/>
    </w:p>
    <w:p w14:paraId="69A996D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El backend de RehniMarket debe mantener una arquitectura organizada en capas que permita separar las responsabilidades del sistema.</w:t>
      </w:r>
      <w:r/>
    </w:p>
    <w:p w14:paraId="0F9FB08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estructura debe seguir el flujo:</w:t>
      </w:r>
      <w:r/>
    </w:p>
    <w:p w14:paraId="2471CC8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Router → Service → Repository → Model</w:t>
      </w:r>
      <w:r/>
    </w:p>
    <w:p w14:paraId="7521E5B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Los routers deben encargarse principalmente de recibir las solicitudes y delegar las operaciones, mientras que los servicios deben contener la lógica de negocio y los repositorios deben encargarse del acceso a los datos.</w:t>
      </w:r>
      <w:r/>
    </w:p>
    <w:p w14:paraId="10D4038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0648AAC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Los routers deben mantenerse delgados.</w:t>
      </w:r>
      <w:r/>
    </w:p>
    <w:p w14:paraId="492A41B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 lógica de negocio debe estar ubicada en los servicios.</w:t>
      </w:r>
      <w:r/>
    </w:p>
    <w:p w14:paraId="13966FB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 acceso a la base de datos debe realizarse mediante repositorios.</w:t>
      </w:r>
      <w:r/>
    </w:p>
    <w:p w14:paraId="7803194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Los modelos deben representar las entidades correspondientes.</w:t>
      </w:r>
      <w:r/>
    </w:p>
    <w:p w14:paraId="44E9DB5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Las responsabilidades deben mantenerse separadas.</w:t>
      </w:r>
      <w:r/>
    </w:p>
    <w:p w14:paraId="6F7DBAA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40A43FD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app/routers</w:t>
      </w:r>
      <w:r/>
    </w:p>
    <w:p w14:paraId="26ED1B1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app/services</w:t>
      </w:r>
      <w:r/>
    </w:p>
    <w:p w14:paraId="241F4C8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app/repository</w:t>
      </w:r>
      <w:r/>
    </w:p>
    <w:p w14:paraId="1DC5D43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app/models</w:t>
      </w:r>
      <w:r/>
    </w:p>
    <w:p w14:paraId="16D0735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 la estructura y del código fuente del backend.</w:t>
      </w:r>
      <w:r/>
    </w:p>
    <w:p w14:paraId="1FDC75D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24A3C43E">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RNF-019 — Control de versiones del esquema de base de datos</w:t>
      </w:r>
      <w:r/>
    </w:p>
    <w:p w14:paraId="188E5F4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Mantenibilidad</w:t>
      </w:r>
      <w:r/>
    </w:p>
    <w:p w14:paraId="0C1F326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Los cambios realizados en la estructura de la base de datos deben gestionarse mediante migraciones versionadas.</w:t>
      </w:r>
      <w:r/>
    </w:p>
    <w:p w14:paraId="0A1E1E3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sistema debe permitir aplicar las modificaciones del esquema mediante operaciones </w:t>
      </w:r>
      <w:r>
        <w:rPr>
          <w:rFonts w:ascii="Courier New" w:hAnsi="Courier New" w:eastAsia="Courier New" w:cs="Courier New"/>
          <w:color w:val="000000"/>
          <w:sz w:val="20"/>
        </w:rPr>
        <w:t xml:space="preserve">upgrade</w:t>
      </w:r>
      <w:r>
        <w:rPr>
          <w:rFonts w:ascii="Times New Roman" w:hAnsi="Times New Roman" w:eastAsia="Times New Roman" w:cs="Times New Roman"/>
          <w:color w:val="000000"/>
          <w:sz w:val="24"/>
        </w:rPr>
        <w:t xml:space="preserve"> y revertirlas mediante </w:t>
      </w:r>
      <w:r>
        <w:rPr>
          <w:rFonts w:ascii="Courier New" w:hAnsi="Courier New" w:eastAsia="Courier New" w:cs="Courier New"/>
          <w:color w:val="000000"/>
          <w:sz w:val="20"/>
        </w:rPr>
        <w:t xml:space="preserve">downgrade</w:t>
      </w:r>
      <w:r>
        <w:rPr>
          <w:rFonts w:ascii="Times New Roman" w:hAnsi="Times New Roman" w:eastAsia="Times New Roman" w:cs="Times New Roman"/>
          <w:color w:val="000000"/>
          <w:sz w:val="24"/>
        </w:rPr>
        <w:t xml:space="preserve">, manteniendo un historial de los cambios realizados.</w:t>
      </w:r>
      <w:r/>
    </w:p>
    <w:p w14:paraId="0F37BD1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r>
      <w:r/>
    </w:p>
    <w:p w14:paraId="1FE1D33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Cada modificación estructural debe estar representada por una migración.</w:t>
      </w:r>
      <w:r/>
    </w:p>
    <w:p w14:paraId="10BA2E0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Las migraciones deben estar versionadas.</w:t>
      </w:r>
      <w:r/>
    </w:p>
    <w:p w14:paraId="5165A2B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Debe ser posible actualizar el esquema.</w:t>
      </w:r>
      <w:r/>
    </w:p>
    <w:p w14:paraId="196459B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Debe ser posible revertir las migraciones.</w:t>
      </w:r>
      <w:r/>
    </w:p>
    <w:p w14:paraId="5E3EB32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La estructura actual debe poder reconstruirse siguiendo la cadena de migraciones.</w:t>
      </w:r>
      <w:r/>
    </w:p>
    <w:p w14:paraId="66F20F4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6D5B8FAB">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alembic/versions/*.py</w:t>
      </w:r>
      <w:r/>
    </w:p>
    <w:p w14:paraId="6427DCD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evidencias/deployment/08_alembic_current.txt</w:t>
      </w:r>
      <w:r/>
    </w:p>
    <w:p w14:paraId="6E94A6C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Ejecución de </w:t>
      </w:r>
      <w:r>
        <w:rPr>
          <w:rFonts w:ascii="Courier New" w:hAnsi="Courier New" w:eastAsia="Courier New" w:cs="Courier New"/>
          <w:color w:val="000000"/>
          <w:sz w:val="20"/>
        </w:rPr>
        <w:t xml:space="preserve">alembic current</w:t>
      </w:r>
      <w:r>
        <w:rPr>
          <w:rFonts w:ascii="Times New Roman" w:hAnsi="Times New Roman" w:eastAsia="Times New Roman" w:cs="Times New Roman"/>
          <w:color w:val="000000"/>
          <w:sz w:val="24"/>
        </w:rPr>
        <w:t xml:space="preserve">, verificada el </w:t>
      </w:r>
      <w:r>
        <w:rPr>
          <w:rFonts w:ascii="Times New Roman" w:hAnsi="Times New Roman" w:eastAsia="Times New Roman" w:cs="Times New Roman"/>
          <w:b/>
          <w:color w:val="000000"/>
          <w:sz w:val="24"/>
        </w:rPr>
        <w:t xml:space="preserve">31 de agosto de 2026</w:t>
      </w:r>
      <w:r>
        <w:rPr>
          <w:rFonts w:ascii="Times New Roman" w:hAnsi="Times New Roman" w:eastAsia="Times New Roman" w:cs="Times New Roman"/>
          <w:color w:val="000000"/>
          <w:sz w:val="24"/>
        </w:rPr>
        <w:t xml:space="preserve">.</w:t>
      </w:r>
      <w:r/>
    </w:p>
    <w:p w14:paraId="63D4D7D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46E2DD9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Nota:</w:t>
        <w:br/>
      </w:r>
      <w:r>
        <w:rPr>
          <w:rFonts w:ascii="Times New Roman" w:hAnsi="Times New Roman" w:eastAsia="Times New Roman" w:cs="Times New Roman"/>
          <w:color w:val="000000"/>
          <w:sz w:val="24"/>
        </w:rPr>
        <w:t xml:space="preserve">La documentación anterior hacía referencia a 23 migraciones y a una cabeza diferente. El estado actual verificado corresponde a </w:t>
      </w:r>
      <w:r>
        <w:rPr>
          <w:rFonts w:ascii="Times New Roman" w:hAnsi="Times New Roman" w:eastAsia="Times New Roman" w:cs="Times New Roman"/>
          <w:b/>
          <w:color w:val="000000"/>
          <w:sz w:val="24"/>
        </w:rPr>
        <w:t xml:space="preserve">10 migraciones lineales</w:t>
      </w:r>
      <w:r>
        <w:rPr>
          <w:rFonts w:ascii="Times New Roman" w:hAnsi="Times New Roman" w:eastAsia="Times New Roman" w:cs="Times New Roman"/>
          <w:color w:val="000000"/>
          <w:sz w:val="24"/>
        </w:rPr>
        <w:t xml:space="preserve">, con cabeza </w:t>
      </w:r>
      <w:r>
        <w:rPr>
          <w:rFonts w:ascii="Courier New" w:hAnsi="Courier New" w:eastAsia="Courier New" w:cs="Courier New"/>
          <w:color w:val="000000"/>
          <w:sz w:val="20"/>
        </w:rPr>
        <w:t xml:space="preserve">a1b2c3d4e5f6</w:t>
      </w:r>
      <w:r>
        <w:rPr>
          <w:rFonts w:ascii="Times New Roman" w:hAnsi="Times New Roman" w:eastAsia="Times New Roman" w:cs="Times New Roman"/>
          <w:color w:val="000000"/>
          <w:sz w:val="24"/>
        </w:rPr>
        <w:t xml:space="preserve">.</w:t>
      </w:r>
      <w:r/>
    </w:p>
    <w:p w14:paraId="31533A28">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RNF-020 — Auditoría de vulnerabilidades de dependencias</w:t>
      </w:r>
      <w:r/>
    </w:p>
    <w:p w14:paraId="6CA8213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Mantenibilidad</w:t>
      </w:r>
      <w:r/>
    </w:p>
    <w:p w14:paraId="76EE985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El proyecto debe contar con un mecanismo que permita identificar vulnerabilidades conocidas en las dependencias utilizadas por el backend.</w:t>
      </w:r>
      <w:r/>
    </w:p>
    <w:p w14:paraId="12DFE01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herramienta debe poder ejecutarse periódicamente para detectar dependencias que presenten vulnerabilidades conocidas y facilitar su actualización.</w:t>
      </w:r>
      <w:r/>
    </w:p>
    <w:p w14:paraId="5D05D17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Debe existir un comando documentado que permita ejecutar la auditoría de dependencias mediante </w:t>
      </w:r>
      <w:r>
        <w:rPr>
          <w:rFonts w:ascii="Courier New" w:hAnsi="Courier New" w:eastAsia="Courier New" w:cs="Courier New"/>
          <w:color w:val="000000"/>
          <w:sz w:val="20"/>
        </w:rPr>
        <w:t xml:space="preserve">pip-audit</w:t>
      </w:r>
      <w:r>
        <w:rPr>
          <w:rFonts w:ascii="Times New Roman" w:hAnsi="Times New Roman" w:eastAsia="Times New Roman" w:cs="Times New Roman"/>
          <w:color w:val="000000"/>
          <w:sz w:val="24"/>
        </w:rPr>
        <w:t xml:space="preserve">.</w:t>
      </w:r>
      <w:r/>
    </w:p>
    <w:p w14:paraId="110445B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0D27C08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pyproject.toml</w:t>
      </w:r>
      <w:r/>
    </w:p>
    <w:p w14:paraId="1BEBD90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Grupo de dependencias de desarrollo con </w:t>
      </w:r>
      <w:r>
        <w:rPr>
          <w:rFonts w:ascii="Courier New" w:hAnsi="Courier New" w:eastAsia="Courier New" w:cs="Courier New"/>
          <w:color w:val="000000"/>
          <w:sz w:val="20"/>
        </w:rPr>
        <w:t xml:space="preserve">pip-audit</w:t>
      </w:r>
      <w:r/>
    </w:p>
    <w:p w14:paraId="74BE3AC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RehniMarket-backend/app/docs/AUDITORIA.md</w:t>
      </w:r>
      <w:r/>
    </w:p>
    <w:p w14:paraId="6EFA7E0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evidencias/security/pip-audit.txt</w:t>
      </w:r>
      <w:r/>
    </w:p>
    <w:p w14:paraId="6E4F7BE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Ejecución de </w:t>
      </w:r>
      <w:r>
        <w:rPr>
          <w:rFonts w:ascii="Courier New" w:hAnsi="Courier New" w:eastAsia="Courier New" w:cs="Courier New"/>
          <w:color w:val="000000"/>
          <w:sz w:val="20"/>
        </w:rPr>
        <w:t xml:space="preserve">pip-audit</w:t>
      </w:r>
      <w:r>
        <w:rPr>
          <w:rFonts w:ascii="Times New Roman" w:hAnsi="Times New Roman" w:eastAsia="Times New Roman" w:cs="Times New Roman"/>
          <w:color w:val="000000"/>
          <w:sz w:val="24"/>
        </w:rPr>
        <w:t xml:space="preserve">, verificada el </w:t>
      </w:r>
      <w:r>
        <w:rPr>
          <w:rFonts w:ascii="Times New Roman" w:hAnsi="Times New Roman" w:eastAsia="Times New Roman" w:cs="Times New Roman"/>
          <w:b/>
          <w:color w:val="000000"/>
          <w:sz w:val="24"/>
        </w:rPr>
        <w:t xml:space="preserve">31 de agosto de 2026</w:t>
      </w:r>
      <w:r>
        <w:rPr>
          <w:rFonts w:ascii="Times New Roman" w:hAnsi="Times New Roman" w:eastAsia="Times New Roman" w:cs="Times New Roman"/>
          <w:color w:val="000000"/>
          <w:sz w:val="24"/>
        </w:rPr>
        <w:t xml:space="preserve">.</w:t>
      </w:r>
      <w:r/>
    </w:p>
    <w:p w14:paraId="04F3980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Resultado registrado:</w:t>
        <w:br/>
      </w:r>
      <w:r>
        <w:rPr>
          <w:rFonts w:ascii="Times New Roman" w:hAnsi="Times New Roman" w:eastAsia="Times New Roman" w:cs="Times New Roman"/>
          <w:color w:val="000000"/>
          <w:sz w:val="24"/>
        </w:rPr>
        <w:t xml:space="preserve">La auditoría redujo el resultado de </w:t>
      </w:r>
      <w:r>
        <w:rPr>
          <w:rFonts w:ascii="Times New Roman" w:hAnsi="Times New Roman" w:eastAsia="Times New Roman" w:cs="Times New Roman"/>
          <w:b/>
          <w:color w:val="000000"/>
          <w:sz w:val="24"/>
        </w:rPr>
        <w:t xml:space="preserve">8 a 1 vulnerabilidad</w:t>
      </w:r>
      <w:r>
        <w:rPr>
          <w:rFonts w:ascii="Times New Roman" w:hAnsi="Times New Roman" w:eastAsia="Times New Roman" w:cs="Times New Roman"/>
          <w:color w:val="000000"/>
          <w:sz w:val="24"/>
        </w:rPr>
        <w:t xml:space="preserve">.</w:t>
      </w:r>
      <w:r/>
    </w:p>
    <w:p w14:paraId="163FA5F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21810266">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7. Escalabilidad</w:t>
      </w:r>
      <w:r/>
    </w:p>
    <w:p w14:paraId="78FEC39E">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RNF-021 — Servicios desacoplados y escalables independientemente</w:t>
      </w:r>
      <w:r/>
    </w:p>
    <w:p w14:paraId="775EA25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Escalabilidad</w:t>
      </w:r>
      <w:r/>
    </w:p>
    <w:p w14:paraId="24E7015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Los componentes principales de RehniMarket deben ejecutarse como servicios independientes, permitiendo que cada componente pueda reiniciarse, actualizarse o reconstruirse sin depender del estado interno de otro servicio.</w:t>
      </w:r>
      <w:r/>
    </w:p>
    <w:p w14:paraId="714A354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arquitectura debe separar principalmente:</w:t>
      </w:r>
      <w:r/>
    </w:p>
    <w:p w14:paraId="2E0EBEF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Backend.</w:t>
      </w:r>
      <w:r/>
    </w:p>
    <w:p w14:paraId="09ABE2A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Frontend.</w:t>
      </w:r>
      <w:r/>
    </w:p>
    <w:p w14:paraId="4AF2B7DA">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PostgreSQL.</w:t>
      </w:r>
      <w:r/>
    </w:p>
    <w:p w14:paraId="1794EEA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MinIO.</w:t>
      </w:r>
      <w:r/>
    </w:p>
    <w:p w14:paraId="7042B95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estado persistente debe mantenerse en servicios de almacenamiento y no depender exclusivamente de la memoria del proceso del backend.</w:t>
      </w:r>
      <w:r/>
    </w:p>
    <w:p w14:paraId="05BFAEC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Cada servicio debe poder reiniciarse o reconstruirse sin perder los datos persistentes de los demás servicios.</w:t>
      </w:r>
      <w:r/>
    </w:p>
    <w:p w14:paraId="2AA98CB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estado principal debe mantenerse en PostgreSQL y MinIO.</w:t>
      </w:r>
      <w:r/>
    </w:p>
    <w:p w14:paraId="6BB4518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br/>
      </w:r>
      <w:r>
        <w:rPr>
          <w:rFonts w:ascii="Courier New" w:hAnsi="Courier New" w:eastAsia="Courier New" w:cs="Courier New"/>
          <w:color w:val="000000"/>
          <w:sz w:val="20"/>
        </w:rPr>
        <w:t xml:space="preserve">docker-compose.yml</w:t>
      </w:r>
      <w:r/>
    </w:p>
    <w:p w14:paraId="311D1AE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Servicios:</w:t>
      </w:r>
      <w:r/>
    </w:p>
    <w:p w14:paraId="42E24A3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minio</w:t>
      </w:r>
      <w:r/>
    </w:p>
    <w:p w14:paraId="1D24E4DD">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postgres</w:t>
      </w:r>
      <w:r/>
    </w:p>
    <w:p w14:paraId="4213FE3B">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backend</w:t>
      </w:r>
      <w:r/>
    </w:p>
    <w:p w14:paraId="422EA33A">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frontend</w:t>
      </w:r>
      <w:r/>
    </w:p>
    <w:p w14:paraId="6514ABC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 la configuración de Docker Compose y de la arquitectura del sistema.</w:t>
      </w:r>
      <w:r/>
    </w:p>
    <w:p w14:paraId="79FEB3B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Limitación:</w:t>
        <w:br/>
      </w:r>
      <w:r>
        <w:rPr>
          <w:rFonts w:ascii="Times New Roman" w:hAnsi="Times New Roman" w:eastAsia="Times New Roman" w:cs="Times New Roman"/>
          <w:color w:val="000000"/>
          <w:sz w:val="24"/>
        </w:rPr>
        <w:t xml:space="preserve">El sistema utiliza un mecanismo de limitación de tasa cuyo contador permanece en memoria del proceso. Por esta razón, aunque la arquitectura permite el desacoplamiento, </w:t>
      </w:r>
      <w:r>
        <w:rPr>
          <w:rFonts w:ascii="Times New Roman" w:hAnsi="Times New Roman" w:eastAsia="Times New Roman" w:cs="Times New Roman"/>
          <w:b/>
          <w:color w:val="000000"/>
          <w:sz w:val="24"/>
        </w:rPr>
        <w:t xml:space="preserve">no se ha probado el funcionamiento con múltiples réplicas del backend</w:t>
      </w:r>
      <w:r>
        <w:rPr>
          <w:rFonts w:ascii="Times New Roman" w:hAnsi="Times New Roman" w:eastAsia="Times New Roman" w:cs="Times New Roman"/>
          <w:color w:val="000000"/>
          <w:sz w:val="24"/>
        </w:rPr>
        <w:t xml:space="preserve">.</w:t>
      </w:r>
      <w:r/>
    </w:p>
    <w:p w14:paraId="2A81196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 por diseño; escalamiento con réplicas no probado</w:t>
      </w:r>
      <w:r/>
    </w:p>
    <w:p w14:paraId="388456D7">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8. Portabilidad</w:t>
      </w:r>
      <w:r/>
    </w:p>
    <w:p w14:paraId="310E7346">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RNF-022 — Almacenamiento independiente de archivos</w:t>
      </w:r>
      <w:r/>
    </w:p>
    <w:p w14:paraId="36D0517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Portabilidad</w:t>
      </w:r>
      <w:r/>
    </w:p>
    <w:p w14:paraId="4623D08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Las imágenes, certificados y demás archivos administrados por RehniMarket no deben almacenarse directamente en el sistema de archivos del contenedor del backend.</w:t>
      </w:r>
      <w:r/>
    </w:p>
    <w:p w14:paraId="2ACBE7B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almacenamiento debe realizarse mediante un servicio independiente de almacenamiento de objetos, permitiendo reconstruir o reemplazar el contenedor de aplicación sin perder los archivos existentes.</w:t>
      </w:r>
      <w:r/>
    </w:p>
    <w:p w14:paraId="3858C0A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La recreación del backend no debe provocar la pérdida de los archivos almacenados, siempre que se conserve el volumen correspondiente al servicio de almacenamiento.</w:t>
      </w:r>
      <w:r/>
    </w:p>
    <w:p w14:paraId="07D0BF2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76517E9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app/services/NasService.py</w:t>
      </w:r>
      <w:r/>
    </w:p>
    <w:p w14:paraId="73EBC80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Cliente MinIO</w:t>
      </w:r>
      <w:r/>
    </w:p>
    <w:p w14:paraId="28D8F75A">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docker-compose.yml</w:t>
      </w:r>
      <w:r/>
    </w:p>
    <w:p w14:paraId="5BFA8D0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Servicio </w:t>
      </w:r>
      <w:r>
        <w:rPr>
          <w:rFonts w:ascii="Courier New" w:hAnsi="Courier New" w:eastAsia="Courier New" w:cs="Courier New"/>
          <w:color w:val="000000"/>
          <w:sz w:val="20"/>
        </w:rPr>
        <w:t xml:space="preserve">minio</w:t>
      </w:r>
      <w:r/>
    </w:p>
    <w:p w14:paraId="286CB1B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Volumen dedicado de MinIO</w:t>
      </w:r>
      <w:r/>
    </w:p>
    <w:p w14:paraId="5619634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y comprobación de las pruebas de respaldo y restauración almacenadas en </w:t>
      </w:r>
      <w:r>
        <w:rPr>
          <w:rFonts w:ascii="Courier New" w:hAnsi="Courier New" w:eastAsia="Courier New" w:cs="Courier New"/>
          <w:color w:val="000000"/>
          <w:sz w:val="20"/>
        </w:rPr>
        <w:t xml:space="preserve">evidencias/backup/</w:t>
      </w:r>
      <w:r>
        <w:rPr>
          <w:rFonts w:ascii="Times New Roman" w:hAnsi="Times New Roman" w:eastAsia="Times New Roman" w:cs="Times New Roman"/>
          <w:color w:val="000000"/>
          <w:sz w:val="24"/>
        </w:rPr>
        <w:t xml:space="preserve">.</w:t>
      </w:r>
      <w:r/>
    </w:p>
    <w:p w14:paraId="45E0F42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0117E155">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RNF-023 — Configuración externalizada por entorno</w:t>
      </w:r>
      <w:r/>
    </w:p>
    <w:p w14:paraId="0C18C39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Portabilidad</w:t>
      </w:r>
      <w:r/>
    </w:p>
    <w:p w14:paraId="445DFC9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El código de RehniMarket debe mantenerse independiente de las configuraciones específicas de cada entorno.</w:t>
      </w:r>
      <w:r/>
    </w:p>
    <w:p w14:paraId="203404D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Las direcciones de servicios, credenciales, hosts y demás parámetros configurables deben definirse mediante variables de entorno.</w:t>
      </w:r>
      <w:r/>
    </w:p>
    <w:p w14:paraId="5EEC1A7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Esto permite utilizar el mismo código en diferentes ambientes sin realizar modificaciones directamente sobre los archivos de programación.</w:t>
      </w:r>
      <w:r/>
    </w:p>
    <w:p w14:paraId="0B3652E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El sistema debe poder ejecutarse en un entorno diferente modificando únicamente las variables de configuración necesarias.</w:t>
      </w:r>
      <w:r/>
    </w:p>
    <w:p w14:paraId="7D82575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No debe ser necesario modificar el código fuente para cambiar:</w:t>
      </w:r>
      <w:r/>
    </w:p>
    <w:p w14:paraId="24D88DA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Host de base de datos.</w:t>
      </w:r>
      <w:r/>
    </w:p>
    <w:p w14:paraId="063F3DB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Credenciales.</w:t>
      </w:r>
      <w:r/>
    </w:p>
    <w:p w14:paraId="0A9E245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URL de servicios.</w:t>
      </w:r>
      <w:r/>
    </w:p>
    <w:p w14:paraId="7A85F2E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Configuración de MinIO.</w:t>
      </w:r>
      <w:r/>
    </w:p>
    <w:p w14:paraId="40C7DB6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Configuración del frontend.</w:t>
      </w:r>
      <w:r/>
    </w:p>
    <w:p w14:paraId="1673705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319606C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app/Config.py</w:t>
      </w:r>
      <w:r/>
    </w:p>
    <w:p w14:paraId="4300B5C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RehniMarket-backend/.env.example</w:t>
      </w:r>
      <w:r/>
    </w:p>
    <w:p w14:paraId="11D61DC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Configuración Docker Compose.</w:t>
      </w:r>
      <w:r/>
    </w:p>
    <w:p w14:paraId="3CAEDDD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Variables del entorno de producción.</w:t>
      </w:r>
      <w:r/>
    </w:p>
    <w:p w14:paraId="0511645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y archivos de configuración.</w:t>
      </w:r>
      <w:r/>
    </w:p>
    <w:p w14:paraId="21F97B3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40DD81C8">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9. Compatibilidad web</w:t>
      </w:r>
      <w:r/>
    </w:p>
    <w:p w14:paraId="5D5FFE78">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RNF-024 — Compilación y verificación del frontend web</w:t>
      </w:r>
      <w:r/>
    </w:p>
    <w:p w14:paraId="78246FC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Compatibilidad</w:t>
      </w:r>
      <w:r/>
    </w:p>
    <w:p w14:paraId="1850A07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El frontend web debe poder compilarse correctamente y superar las herramientas de análisis configuradas antes de considerarse listo para su despliegue.</w:t>
      </w:r>
      <w:r/>
    </w:p>
    <w:p w14:paraId="6C96F51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aplicación debe mantener un código TypeScript válido y cumplir las reglas establecidas por ESLint.</w:t>
      </w:r>
      <w:r/>
    </w:p>
    <w:p w14:paraId="33CC968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Los siguientes comandos deben finalizar correctamente:</w:t>
      </w:r>
      <w:r/>
    </w:p>
    <w:p w14:paraId="6CB02867">
      <w:pPr>
        <w:pBdr>
          <w:top w:val="none" w:color="000000" w:sz="4" w:space="0"/>
          <w:left w:val="none" w:color="000000" w:sz="4" w:space="0"/>
          <w:bottom w:val="none" w:color="000000" w:sz="4" w:space="0"/>
          <w:right w:val="none" w:color="000000" w:sz="4" w:space="0"/>
        </w:pBdr>
        <w:spacing/>
        <w:ind w:right="0" w:firstLine="0" w:left="0"/>
        <w:jc w:val="left"/>
        <w:rPr/>
      </w:pPr>
      <w:r>
        <w:rPr>
          <w:rFonts w:ascii="Courier New" w:hAnsi="Courier New" w:eastAsia="Courier New" w:cs="Courier New"/>
          <w:color w:val="000000"/>
          <w:sz w:val="20"/>
        </w:rPr>
        <w:t xml:space="preserve">tsc -b --noEmit</w:t>
      </w:r>
      <w:r/>
    </w:p>
    <w:p w14:paraId="0DD31AA5">
      <w:pPr>
        <w:pBdr>
          <w:top w:val="none" w:color="000000" w:sz="4" w:space="0"/>
          <w:left w:val="none" w:color="000000" w:sz="4" w:space="0"/>
          <w:bottom w:val="none" w:color="000000" w:sz="4" w:space="0"/>
          <w:right w:val="none" w:color="000000" w:sz="4" w:space="0"/>
        </w:pBdr>
        <w:spacing/>
        <w:ind w:right="0" w:firstLine="0" w:left="0"/>
        <w:jc w:val="left"/>
        <w:rPr/>
      </w:pPr>
      <w:r>
        <w:rPr>
          <w:rFonts w:ascii="Courier New" w:hAnsi="Courier New" w:eastAsia="Courier New" w:cs="Courier New"/>
          <w:color w:val="000000"/>
          <w:sz w:val="20"/>
        </w:rPr>
        <w:t xml:space="preserve">eslint .</w:t>
      </w:r>
      <w:r/>
    </w:p>
    <w:p w14:paraId="24CADA8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No deben existir errores que impidan la compilación o el análisis estático configurado.</w:t>
      </w:r>
      <w:r/>
    </w:p>
    <w:p w14:paraId="27A7FE1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br/>
      </w:r>
      <w:r>
        <w:rPr>
          <w:rFonts w:ascii="Courier New" w:hAnsi="Courier New" w:eastAsia="Courier New" w:cs="Courier New"/>
          <w:color w:val="000000"/>
          <w:sz w:val="20"/>
        </w:rPr>
        <w:t xml:space="preserve">evidencias/tests/frontend-tsc-eslint.txt</w:t>
      </w:r>
      <w:r/>
    </w:p>
    <w:p w14:paraId="7E53A2F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Ejecución de los comandos el </w:t>
      </w:r>
      <w:r>
        <w:rPr>
          <w:rFonts w:ascii="Times New Roman" w:hAnsi="Times New Roman" w:eastAsia="Times New Roman" w:cs="Times New Roman"/>
          <w:b/>
          <w:color w:val="000000"/>
          <w:sz w:val="24"/>
        </w:rPr>
        <w:t xml:space="preserve">31 de agosto de 2026</w:t>
      </w:r>
      <w:r>
        <w:rPr>
          <w:rFonts w:ascii="Times New Roman" w:hAnsi="Times New Roman" w:eastAsia="Times New Roman" w:cs="Times New Roman"/>
          <w:color w:val="000000"/>
          <w:sz w:val="24"/>
        </w:rPr>
        <w:t xml:space="preserve">.</w:t>
      </w:r>
      <w:r/>
    </w:p>
    <w:p w14:paraId="1461E19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Resultado:</w:t>
        <w:br/>
      </w:r>
      <w:r>
        <w:rPr>
          <w:rFonts w:ascii="Times New Roman" w:hAnsi="Times New Roman" w:eastAsia="Times New Roman" w:cs="Times New Roman"/>
          <w:color w:val="000000"/>
          <w:sz w:val="24"/>
        </w:rPr>
        <w:t xml:space="preserve">Ambos comandos finalizaron con código de salida </w:t>
      </w:r>
      <w:r>
        <w:rPr>
          <w:rFonts w:ascii="Courier New" w:hAnsi="Courier New" w:eastAsia="Courier New" w:cs="Courier New"/>
          <w:color w:val="000000"/>
          <w:sz w:val="20"/>
        </w:rPr>
        <w:t xml:space="preserve">0</w:t>
      </w:r>
      <w:r>
        <w:rPr>
          <w:rFonts w:ascii="Times New Roman" w:hAnsi="Times New Roman" w:eastAsia="Times New Roman" w:cs="Times New Roman"/>
          <w:color w:val="000000"/>
          <w:sz w:val="24"/>
        </w:rPr>
        <w:t xml:space="preserve">.</w:t>
      </w:r>
      <w:r/>
    </w:p>
    <w:p w14:paraId="52D0C37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Observación:</w:t>
        <w:br/>
      </w:r>
      <w:r>
        <w:rPr>
          <w:rFonts w:ascii="Times New Roman" w:hAnsi="Times New Roman" w:eastAsia="Times New Roman" w:cs="Times New Roman"/>
          <w:color w:val="000000"/>
          <w:sz w:val="24"/>
        </w:rPr>
        <w:t xml:space="preserve">El modo </w:t>
      </w:r>
      <w:r>
        <w:rPr>
          <w:rFonts w:ascii="Courier New" w:hAnsi="Courier New" w:eastAsia="Courier New" w:cs="Courier New"/>
          <w:color w:val="000000"/>
          <w:sz w:val="20"/>
        </w:rPr>
        <w:t xml:space="preserve">strict</w:t>
      </w:r>
      <w:r>
        <w:rPr>
          <w:rFonts w:ascii="Times New Roman" w:hAnsi="Times New Roman" w:eastAsia="Times New Roman" w:cs="Times New Roman"/>
          <w:color w:val="000000"/>
          <w:sz w:val="24"/>
        </w:rPr>
        <w:t xml:space="preserve"> de TypeScript no está activado actualmente en el </w:t>
      </w:r>
      <w:r>
        <w:rPr>
          <w:rFonts w:ascii="Courier New" w:hAnsi="Courier New" w:eastAsia="Courier New" w:cs="Courier New"/>
          <w:color w:val="000000"/>
          <w:sz w:val="20"/>
        </w:rPr>
        <w:t xml:space="preserve">tsconfig</w:t>
      </w:r>
      <w:r>
        <w:rPr>
          <w:rFonts w:ascii="Times New Roman" w:hAnsi="Times New Roman" w:eastAsia="Times New Roman" w:cs="Times New Roman"/>
          <w:color w:val="000000"/>
          <w:sz w:val="24"/>
        </w:rPr>
        <w:t xml:space="preserve"> del frontend web, aunque sí se encuentra activado en la aplicación móvil.</w:t>
      </w:r>
      <w:r/>
    </w:p>
    <w:p w14:paraId="230E54C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068BD2EE">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RNF-025 — Interfaz web adaptable a diferentes tamaños de pantalla</w:t>
      </w:r>
      <w:r/>
    </w:p>
    <w:p w14:paraId="40BB7FC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Compatibilidad</w:t>
      </w:r>
      <w:r/>
    </w:p>
    <w:p w14:paraId="60A4B44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 interfaz web debe adaptarse a diferentes resoluciones y tamaños de pantalla, permitiendo utilizar la aplicación tanto en dispositivos móviles como en pantallas de escritorio.</w:t>
      </w:r>
      <w:r/>
    </w:p>
    <w:p w14:paraId="1804F07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Los componentes deben modificar su distribución y dimensiones mediante breakpoints responsive.</w:t>
      </w:r>
      <w:r/>
    </w:p>
    <w:p w14:paraId="6ADF2D2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Los componentes deben utilizar diferentes puntos de quiebre para modificar su comportamiento según el ancho disponible.</w:t>
      </w:r>
      <w:r/>
    </w:p>
    <w:p w14:paraId="074B37E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Se deben utilizar mecanismos responsive como:</w:t>
      </w:r>
      <w:r/>
    </w:p>
    <w:p w14:paraId="45F9455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sm:</w:t>
      </w:r>
      <w:r/>
    </w:p>
    <w:p w14:paraId="41D4BD0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md:</w:t>
      </w:r>
      <w:r/>
    </w:p>
    <w:p w14:paraId="2F3FBE5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lg:</w:t>
      </w:r>
      <w:r/>
    </w:p>
    <w:p w14:paraId="32AFA2B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Los elementos no deben depender exclusivamente de dimensiones fijas.</w:t>
      </w:r>
      <w:r/>
    </w:p>
    <w:p w14:paraId="2AB37E6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br/>
      </w:r>
      <w:r>
        <w:rPr>
          <w:rFonts w:ascii="Times New Roman" w:hAnsi="Times New Roman" w:eastAsia="Times New Roman" w:cs="Times New Roman"/>
          <w:color w:val="000000"/>
          <w:sz w:val="24"/>
        </w:rPr>
        <w:t xml:space="preserve">Se identificaron </w:t>
      </w:r>
      <w:r>
        <w:rPr>
          <w:rFonts w:ascii="Times New Roman" w:hAnsi="Times New Roman" w:eastAsia="Times New Roman" w:cs="Times New Roman"/>
          <w:b/>
          <w:color w:val="000000"/>
          <w:sz w:val="24"/>
        </w:rPr>
        <w:t xml:space="preserve">44 archivos </w:t>
      </w:r>
      <w:r>
        <w:rPr>
          <w:rFonts w:ascii="Courier New" w:hAnsi="Courier New" w:eastAsia="Courier New" w:cs="Courier New"/>
          <w:b/>
          <w:color w:val="000000"/>
          <w:sz w:val="20"/>
        </w:rPr>
        <w:t xml:space="preserve">.tsx</w:t>
      </w:r>
      <w:r>
        <w:rPr>
          <w:rFonts w:ascii="Times New Roman" w:hAnsi="Times New Roman" w:eastAsia="Times New Roman" w:cs="Times New Roman"/>
          <w:color w:val="000000"/>
          <w:sz w:val="24"/>
        </w:rPr>
        <w:t xml:space="preserve"> del frontend que utilizan al menos un breakpoint responsive de Tailwind.</w:t>
      </w:r>
      <w:r/>
    </w:p>
    <w:p w14:paraId="3FAB314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Verificación estática mediante análisis del código.</w:t>
      </w:r>
      <w:r/>
    </w:p>
    <w:p w14:paraId="743A0EC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Las pruebas visuales en dispositivos y resoluciones reales permanecen pendientes.</w:t>
      </w:r>
      <w:r/>
    </w:p>
    <w:p w14:paraId="601CEF5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 mediante verificación estática</w:t>
      </w:r>
      <w:r/>
    </w:p>
    <w:p w14:paraId="4C79A7B0">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10. Despliegue</w:t>
      </w:r>
      <w:r/>
    </w:p>
    <w:p w14:paraId="7679AAB4">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RNF-026 — Levantamiento completo del sistema mediante un solo comando</w:t>
      </w:r>
      <w:r/>
    </w:p>
    <w:p w14:paraId="15A69B5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Despliegue</w:t>
      </w:r>
      <w:r/>
    </w:p>
    <w:p w14:paraId="6F76AC1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RehniMarket debe permitir iniciar los servicios principales de la aplicación mediante Docker Compose, evitando la necesidad de ejecutar manualmente cada servicio por separado.</w:t>
      </w:r>
      <w:r/>
    </w:p>
    <w:p w14:paraId="3630F59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entorno debe permitir levantar conjuntamente:</w:t>
      </w:r>
      <w:r/>
    </w:p>
    <w:p w14:paraId="1D3F3B8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PostgreSQL.</w:t>
      </w:r>
      <w:r/>
    </w:p>
    <w:p w14:paraId="781C29A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MinIO.</w:t>
      </w:r>
      <w:r/>
    </w:p>
    <w:p w14:paraId="5F14717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Backend.</w:t>
      </w:r>
      <w:r/>
    </w:p>
    <w:p w14:paraId="40FA3EC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Frontend.</w:t>
      </w:r>
      <w:r/>
    </w:p>
    <w:p w14:paraId="6275FCF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La ejecución de:</w:t>
      </w:r>
      <w:r/>
    </w:p>
    <w:p w14:paraId="3CE33F3C">
      <w:pPr>
        <w:pBdr>
          <w:top w:val="none" w:color="000000" w:sz="4" w:space="0"/>
          <w:left w:val="none" w:color="000000" w:sz="4" w:space="0"/>
          <w:bottom w:val="none" w:color="000000" w:sz="4" w:space="0"/>
          <w:right w:val="none" w:color="000000" w:sz="4" w:space="0"/>
        </w:pBdr>
        <w:spacing/>
        <w:ind w:right="0" w:firstLine="0" w:left="0"/>
        <w:jc w:val="left"/>
        <w:rPr/>
      </w:pPr>
      <w:r>
        <w:rPr>
          <w:rFonts w:ascii="Courier New" w:hAnsi="Courier New" w:eastAsia="Courier New" w:cs="Courier New"/>
          <w:color w:val="000000"/>
          <w:sz w:val="20"/>
        </w:rPr>
        <w:t xml:space="preserve">docker compose up -d</w:t>
      </w:r>
      <w:r/>
    </w:p>
    <w:p w14:paraId="70E03B5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debe iniciar los servicios definidos y permitir su comunicación dentro de la infraestructura Docker.</w:t>
      </w:r>
      <w:r/>
    </w:p>
    <w:p w14:paraId="24A049D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233FC4E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docker-compose.yml</w:t>
      </w:r>
      <w:r/>
    </w:p>
    <w:p w14:paraId="545337A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evidencias/deployment/01_docker_compose_ps.txt</w:t>
      </w:r>
      <w:r/>
    </w:p>
    <w:p w14:paraId="246C71A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Ejecución del comando el </w:t>
      </w:r>
      <w:r>
        <w:rPr>
          <w:rFonts w:ascii="Times New Roman" w:hAnsi="Times New Roman" w:eastAsia="Times New Roman" w:cs="Times New Roman"/>
          <w:b/>
          <w:color w:val="000000"/>
          <w:sz w:val="24"/>
        </w:rPr>
        <w:t xml:space="preserve">31 de agosto de 2026</w:t>
      </w:r>
      <w:r>
        <w:rPr>
          <w:rFonts w:ascii="Times New Roman" w:hAnsi="Times New Roman" w:eastAsia="Times New Roman" w:cs="Times New Roman"/>
          <w:color w:val="000000"/>
          <w:sz w:val="24"/>
        </w:rPr>
        <w:t xml:space="preserve">.</w:t>
      </w:r>
      <w:r/>
    </w:p>
    <w:p w14:paraId="26A4DFF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Resultado:</w:t>
        <w:br/>
      </w:r>
      <w:r>
        <w:rPr>
          <w:rFonts w:ascii="Times New Roman" w:hAnsi="Times New Roman" w:eastAsia="Times New Roman" w:cs="Times New Roman"/>
          <w:color w:val="000000"/>
          <w:sz w:val="24"/>
        </w:rPr>
        <w:t xml:space="preserve">Se verificaron </w:t>
      </w:r>
      <w:r>
        <w:rPr>
          <w:rFonts w:ascii="Times New Roman" w:hAnsi="Times New Roman" w:eastAsia="Times New Roman" w:cs="Times New Roman"/>
          <w:b/>
          <w:color w:val="000000"/>
          <w:sz w:val="24"/>
        </w:rPr>
        <w:t xml:space="preserve">4 servicios activos</w:t>
      </w:r>
      <w:r>
        <w:rPr>
          <w:rFonts w:ascii="Times New Roman" w:hAnsi="Times New Roman" w:eastAsia="Times New Roman" w:cs="Times New Roman"/>
          <w:color w:val="000000"/>
          <w:sz w:val="24"/>
        </w:rPr>
        <w:t xml:space="preserve">, de los cuales </w:t>
      </w:r>
      <w:r>
        <w:rPr>
          <w:rFonts w:ascii="Times New Roman" w:hAnsi="Times New Roman" w:eastAsia="Times New Roman" w:cs="Times New Roman"/>
          <w:b/>
          <w:color w:val="000000"/>
          <w:sz w:val="24"/>
        </w:rPr>
        <w:t xml:space="preserve">3 reportaron estado healthy</w:t>
      </w:r>
      <w:r>
        <w:rPr>
          <w:rFonts w:ascii="Times New Roman" w:hAnsi="Times New Roman" w:eastAsia="Times New Roman" w:cs="Times New Roman"/>
          <w:color w:val="000000"/>
          <w:sz w:val="24"/>
        </w:rPr>
        <w:t xml:space="preserve">.</w:t>
      </w:r>
      <w:r/>
    </w:p>
    <w:p w14:paraId="5E53C3C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 y verificado</w:t>
      </w:r>
      <w:r/>
    </w:p>
    <w:p w14:paraId="056D7AFB">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11. Calidad</w:t>
      </w:r>
      <w:r/>
    </w:p>
    <w:p w14:paraId="4D4EB02C">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RNF-027 — Verificación estática del backend</w:t>
      </w:r>
      <w:r/>
    </w:p>
    <w:p w14:paraId="19E43BA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Calidad</w:t>
      </w:r>
      <w:r/>
    </w:p>
    <w:p w14:paraId="6004286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El código Python del backend debe poder verificarse antes de ser integrado para detectar errores de sintaxis y problemas relacionados con la configuración de los modelos.</w:t>
      </w:r>
      <w:r/>
    </w:p>
    <w:p w14:paraId="5371FE55">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verificación debe garantizar como mínimo que los módulos puedan compilarse y que las relaciones de SQLAlchemy puedan resolverse correctamente.</w:t>
      </w:r>
      <w:r/>
    </w:p>
    <w:p w14:paraId="32C9C40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Los módulos modificados deben poder pasar por:</w:t>
      </w:r>
      <w:r/>
    </w:p>
    <w:p w14:paraId="4C06015B">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py_compile</w:t>
      </w:r>
      <w:r>
        <w:rPr>
          <w:rFonts w:ascii="Times New Roman" w:hAnsi="Times New Roman" w:eastAsia="Times New Roman" w:cs="Times New Roman"/>
          <w:color w:val="000000"/>
          <w:sz w:val="24"/>
        </w:rPr>
        <w:t xml:space="preserve">.</w:t>
      </w:r>
      <w:r/>
    </w:p>
    <w:p w14:paraId="5442395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Resolución de relaciones mediante </w:t>
      </w:r>
      <w:r>
        <w:rPr>
          <w:rFonts w:ascii="Courier New" w:hAnsi="Courier New" w:eastAsia="Courier New" w:cs="Courier New"/>
          <w:color w:val="000000"/>
          <w:sz w:val="20"/>
        </w:rPr>
        <w:t xml:space="preserve">configure_mappers</w:t>
      </w:r>
      <w:r>
        <w:rPr>
          <w:rFonts w:ascii="Times New Roman" w:hAnsi="Times New Roman" w:eastAsia="Times New Roman" w:cs="Times New Roman"/>
          <w:color w:val="000000"/>
          <w:sz w:val="24"/>
        </w:rPr>
        <w:t xml:space="preserve">.</w:t>
      </w:r>
      <w:r/>
    </w:p>
    <w:p w14:paraId="7E38FDC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Estas comprobaciones no deben producir errores.</w:t>
      </w:r>
      <w:r/>
    </w:p>
    <w:p w14:paraId="1D90626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6A12441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Revisiones manuales.</w:t>
      </w:r>
      <w:r/>
    </w:p>
    <w:p w14:paraId="5FB1AD5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Ejecuciones de </w:t>
      </w:r>
      <w:r>
        <w:rPr>
          <w:rFonts w:ascii="Courier New" w:hAnsi="Courier New" w:eastAsia="Courier New" w:cs="Courier New"/>
          <w:color w:val="000000"/>
          <w:sz w:val="20"/>
        </w:rPr>
        <w:t xml:space="preserve">py_compile</w:t>
      </w:r>
      <w:r>
        <w:rPr>
          <w:rFonts w:ascii="Times New Roman" w:hAnsi="Times New Roman" w:eastAsia="Times New Roman" w:cs="Times New Roman"/>
          <w:color w:val="000000"/>
          <w:sz w:val="24"/>
        </w:rPr>
        <w:t xml:space="preserve">.</w:t>
      </w:r>
      <w:r/>
    </w:p>
    <w:p w14:paraId="5CC67DD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Configuración actual del backend.</w:t>
      </w:r>
      <w:r/>
    </w:p>
    <w:p w14:paraId="478FEB8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Limitación identificada:</w:t>
        <w:br/>
      </w:r>
      <w:r>
        <w:rPr>
          <w:rFonts w:ascii="Times New Roman" w:hAnsi="Times New Roman" w:eastAsia="Times New Roman" w:cs="Times New Roman"/>
          <w:color w:val="000000"/>
          <w:sz w:val="24"/>
        </w:rPr>
        <w:t xml:space="preserve">Actualmente no existe un conjunto automatizado completo de herramientas de calidad para Python. No están configurados:</w:t>
      </w:r>
      <w:r/>
    </w:p>
    <w:p w14:paraId="7A4661C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Ruff.</w:t>
      </w:r>
      <w:r/>
    </w:p>
    <w:p w14:paraId="1E6DB44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Mypy.</w:t>
      </w:r>
      <w:r/>
    </w:p>
    <w:p w14:paraId="654BA60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Black.</w:t>
      </w:r>
      <w:r/>
    </w:p>
    <w:p w14:paraId="34D6C19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Verificación manual y ejecución de </w:t>
      </w:r>
      <w:r>
        <w:rPr>
          <w:rFonts w:ascii="Courier New" w:hAnsi="Courier New" w:eastAsia="Courier New" w:cs="Courier New"/>
          <w:color w:val="000000"/>
          <w:sz w:val="20"/>
        </w:rPr>
        <w:t xml:space="preserve">py_compile</w:t>
      </w:r>
      <w:r>
        <w:rPr>
          <w:rFonts w:ascii="Times New Roman" w:hAnsi="Times New Roman" w:eastAsia="Times New Roman" w:cs="Times New Roman"/>
          <w:color w:val="000000"/>
          <w:sz w:val="24"/>
        </w:rPr>
        <w:t xml:space="preserve">.</w:t>
      </w:r>
      <w:r/>
    </w:p>
    <w:p w14:paraId="43B9272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Parcial</w:t>
      </w:r>
      <w:r/>
    </w:p>
    <w:p w14:paraId="1B2F70D8">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RNF-028 — Suite de pruebas automatizadas</w:t>
      </w:r>
      <w:r/>
    </w:p>
    <w:p w14:paraId="7109FC5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Calidad</w:t>
      </w:r>
      <w:r/>
    </w:p>
    <w:p w14:paraId="6E5E450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El backend de RehniMarket debe disponer de una suite de pruebas automatizadas que permita comprobar el comportamiento de sus componentes y funcionalidades principales.</w:t>
      </w:r>
      <w:r/>
    </w:p>
    <w:p w14:paraId="69633FE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Las pruebas deben poder ejecutarse mediante un comando común y proporcionar un resultado que permita determinar si las pruebas fueron exitosas o si existen fallos.</w:t>
      </w:r>
      <w:r/>
    </w:p>
    <w:p w14:paraId="138A732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La ejecución de </w:t>
      </w:r>
      <w:r>
        <w:rPr>
          <w:rFonts w:ascii="Courier New" w:hAnsi="Courier New" w:eastAsia="Courier New" w:cs="Courier New"/>
          <w:color w:val="000000"/>
          <w:sz w:val="20"/>
        </w:rPr>
        <w:t xml:space="preserve">pytest</w:t>
      </w:r>
      <w:r>
        <w:rPr>
          <w:rFonts w:ascii="Times New Roman" w:hAnsi="Times New Roman" w:eastAsia="Times New Roman" w:cs="Times New Roman"/>
          <w:color w:val="000000"/>
          <w:sz w:val="24"/>
        </w:rPr>
        <w:t xml:space="preserve"> debe permitir ejecutar la suite automatizada y generar un resultado verificable.</w:t>
      </w:r>
      <w:r/>
    </w:p>
    <w:p w14:paraId="0A1799E1">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Las pruebas deben cubrir funcionalidades relacionadas con los diferentes componentes del backend.</w:t>
      </w:r>
      <w:r/>
    </w:p>
    <w:p w14:paraId="039DB63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550FA9B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RehniMarket-backend/tests/</w:t>
      </w:r>
      <w:r/>
    </w:p>
    <w:p w14:paraId="570FE70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7 archivos de pruebas.</w:t>
      </w:r>
      <w:r/>
    </w:p>
    <w:p w14:paraId="72FE89E1">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113 funciones de prueba.</w:t>
      </w:r>
      <w:r/>
    </w:p>
    <w:p w14:paraId="3A4E313F">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evidencias/tests/pytest.txt</w:t>
      </w:r>
      <w:r/>
    </w:p>
    <w:p w14:paraId="3B6BF3E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evidencias/tests/pytest-cov.txt</w:t>
      </w:r>
      <w:r/>
    </w:p>
    <w:p w14:paraId="387C8F7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Resultado:</w:t>
        <w:br/>
      </w:r>
      <w:r>
        <w:rPr>
          <w:rFonts w:ascii="Times New Roman" w:hAnsi="Times New Roman" w:eastAsia="Times New Roman" w:cs="Times New Roman"/>
          <w:color w:val="000000"/>
          <w:sz w:val="24"/>
        </w:rPr>
        <w:t xml:space="preserve">Se registraron:</w:t>
      </w:r>
      <w:r/>
    </w:p>
    <w:p w14:paraId="5015C2A6">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113 pruebas exitosas de 113 ejecutadas.</w:t>
      </w:r>
      <w:r/>
    </w:p>
    <w:p w14:paraId="79B1462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 cobertura registrada es de aproximadamente </w:t>
      </w:r>
      <w:r>
        <w:rPr>
          <w:rFonts w:ascii="Times New Roman" w:hAnsi="Times New Roman" w:eastAsia="Times New Roman" w:cs="Times New Roman"/>
          <w:b/>
          <w:color w:val="000000"/>
          <w:sz w:val="24"/>
        </w:rPr>
        <w:t xml:space="preserve">62 %</w:t>
      </w:r>
      <w:r>
        <w:rPr>
          <w:rFonts w:ascii="Times New Roman" w:hAnsi="Times New Roman" w:eastAsia="Times New Roman" w:cs="Times New Roman"/>
          <w:color w:val="000000"/>
          <w:sz w:val="24"/>
        </w:rPr>
        <w:t xml:space="preserve">.</w:t>
      </w:r>
      <w:r/>
    </w:p>
    <w:p w14:paraId="69E6AA8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Ejecución de </w:t>
      </w:r>
      <w:r>
        <w:rPr>
          <w:rFonts w:ascii="Courier New" w:hAnsi="Courier New" w:eastAsia="Courier New" w:cs="Courier New"/>
          <w:color w:val="000000"/>
          <w:sz w:val="20"/>
        </w:rPr>
        <w:t xml:space="preserve">pytest</w:t>
      </w:r>
      <w:r>
        <w:rPr>
          <w:rFonts w:ascii="Times New Roman" w:hAnsi="Times New Roman" w:eastAsia="Times New Roman" w:cs="Times New Roman"/>
          <w:color w:val="000000"/>
          <w:sz w:val="24"/>
        </w:rPr>
        <w:t xml:space="preserve">, verificada el </w:t>
      </w:r>
      <w:r>
        <w:rPr>
          <w:rFonts w:ascii="Times New Roman" w:hAnsi="Times New Roman" w:eastAsia="Times New Roman" w:cs="Times New Roman"/>
          <w:b/>
          <w:color w:val="000000"/>
          <w:sz w:val="24"/>
        </w:rPr>
        <w:t xml:space="preserve">31 de agosto de 2026</w:t>
      </w:r>
      <w:r>
        <w:rPr>
          <w:rFonts w:ascii="Times New Roman" w:hAnsi="Times New Roman" w:eastAsia="Times New Roman" w:cs="Times New Roman"/>
          <w:color w:val="000000"/>
          <w:sz w:val="24"/>
        </w:rPr>
        <w:t xml:space="preserve">.</w:t>
      </w:r>
      <w:r/>
    </w:p>
    <w:p w14:paraId="2DBA987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 en el backend</w:t>
      </w:r>
      <w:r/>
    </w:p>
    <w:p w14:paraId="7BCF3A7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Limitación:</w:t>
        <w:br/>
      </w:r>
      <w:r>
        <w:rPr>
          <w:rFonts w:ascii="Times New Roman" w:hAnsi="Times New Roman" w:eastAsia="Times New Roman" w:cs="Times New Roman"/>
          <w:color w:val="000000"/>
          <w:sz w:val="24"/>
        </w:rPr>
        <w:t xml:space="preserve">Actualmente no existen pruebas automatizadas equivalentes para el frontend web ni para la aplicación móvil.</w:t>
      </w:r>
      <w:r/>
    </w:p>
    <w:p w14:paraId="58B1F01D">
      <w:pPr>
        <w:pStyle w:val="703"/>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48"/>
        </w:rPr>
        <w:t xml:space="preserve">12. Compatibilidad móvil</w:t>
      </w:r>
      <w:r/>
    </w:p>
    <w:p w14:paraId="708A8CA7">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RNF-029 — Ejecución del cliente móvil en Android e iOS</w:t>
      </w:r>
      <w:r/>
    </w:p>
    <w:p w14:paraId="69CAB18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Compatibilidad móvil</w:t>
      </w:r>
      <w:r/>
    </w:p>
    <w:p w14:paraId="386A464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 aplicación móvil de RehniMarket debe desarrollarse utilizando tecnologías multiplataforma que permitan su ejecución tanto en Android como en iOS.</w:t>
      </w:r>
      <w:r/>
    </w:p>
    <w:p w14:paraId="342CBECB">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proyecto utiliza Expo y React Native como base para el desarrollo del cliente móvil.</w:t>
      </w:r>
      <w:r/>
    </w:p>
    <w:p w14:paraId="5404DEB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El proyecto debe:</w:t>
      </w:r>
      <w:r/>
    </w:p>
    <w:p w14:paraId="017ADCC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Utilizar Expo/React Native.</w:t>
      </w:r>
      <w:r/>
    </w:p>
    <w:p w14:paraId="0156ECA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Disponer de configuración para Android.</w:t>
      </w:r>
      <w:r/>
    </w:p>
    <w:p w14:paraId="09507212">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Disponer de configuración para iOS.</w:t>
      </w:r>
      <w:r/>
    </w:p>
    <w:p w14:paraId="0747741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Utilizar APIs compatibles con ambas plataformas.</w:t>
      </w:r>
      <w:r/>
    </w:p>
    <w:p w14:paraId="6803C2CC">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br/>
      </w:r>
      <w:r>
        <w:rPr>
          <w:rFonts w:ascii="Courier New" w:hAnsi="Courier New" w:eastAsia="Courier New" w:cs="Courier New"/>
          <w:color w:val="000000"/>
          <w:sz w:val="20"/>
        </w:rPr>
        <w:t xml:space="preserve">RehniMarket-mobile/package.json</w:t>
      </w:r>
      <w:r/>
    </w:p>
    <w:p w14:paraId="183AC6E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proyecto contiene scripts destinados a:</w:t>
      </w:r>
      <w:r/>
    </w:p>
    <w:p w14:paraId="2D4826BA">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Android.</w:t>
      </w:r>
      <w:r/>
    </w:p>
    <w:p w14:paraId="6CB49AB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iOS.</w:t>
      </w:r>
      <w:r/>
    </w:p>
    <w:p w14:paraId="72E9466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Web.</w:t>
      </w:r>
      <w:r/>
    </w:p>
    <w:p w14:paraId="1A907009">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También incluye la dependencia de Expo.</w:t>
      </w:r>
      <w:r/>
    </w:p>
    <w:p w14:paraId="46A6205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 la configuración y dependencias del proyecto.</w:t>
      </w:r>
      <w:r/>
    </w:p>
    <w:p w14:paraId="57F0E41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Limitación:</w:t>
        <w:br/>
      </w:r>
      <w:r>
        <w:rPr>
          <w:rFonts w:ascii="Times New Roman" w:hAnsi="Times New Roman" w:eastAsia="Times New Roman" w:cs="Times New Roman"/>
          <w:color w:val="000000"/>
          <w:sz w:val="24"/>
        </w:rPr>
        <w:t xml:space="preserve">No existe evidencia en el repositorio de una ejecución verificada en un dispositivo físico o emulador real para ambas plataformas.</w:t>
      </w:r>
      <w:r/>
    </w:p>
    <w:p w14:paraId="1FD45D1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Tampoco se dispone actualmente de:</w:t>
      </w:r>
      <w:r/>
    </w:p>
    <w:p w14:paraId="3057D2F0">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eas.json</w:t>
      </w:r>
      <w:r/>
    </w:p>
    <w:p w14:paraId="10F7747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Directorio </w:t>
      </w:r>
      <w:r>
        <w:rPr>
          <w:rFonts w:ascii="Courier New" w:hAnsi="Courier New" w:eastAsia="Courier New" w:cs="Courier New"/>
          <w:color w:val="000000"/>
          <w:sz w:val="20"/>
        </w:rPr>
        <w:t xml:space="preserve">android/</w:t>
      </w:r>
      <w:r/>
    </w:p>
    <w:p w14:paraId="1BD54576">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Directorio </w:t>
      </w:r>
      <w:r>
        <w:rPr>
          <w:rFonts w:ascii="Courier New" w:hAnsi="Courier New" w:eastAsia="Courier New" w:cs="Courier New"/>
          <w:color w:val="000000"/>
          <w:sz w:val="20"/>
        </w:rPr>
        <w:t xml:space="preserve">ios/</w:t>
      </w:r>
      <w:r/>
    </w:p>
    <w:p w14:paraId="0326E41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Parcial</w:t>
      </w:r>
      <w:r/>
    </w:p>
    <w:p w14:paraId="3C02DD49">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RNF-030 — Adaptación del cliente móvil a diferentes tamaños de pantalla</w:t>
      </w:r>
      <w:r/>
    </w:p>
    <w:p w14:paraId="6E392CA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Compatibilidad móvil</w:t>
      </w:r>
      <w:r/>
    </w:p>
    <w:p w14:paraId="6281DFC2">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 aplicación móvil debe adaptar sus componentes a los diferentes tamaños de pantalla disponibles en los dispositivos.</w:t>
      </w:r>
      <w:r/>
    </w:p>
    <w:p w14:paraId="16C00A37">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Los elementos que dependen del ancho de la pantalla deben calcular sus dimensiones de forma dinámica en lugar de utilizar únicamente valores fijos.</w:t>
      </w:r>
      <w:r/>
    </w:p>
    <w:p w14:paraId="1306A7C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Esto es especialmente importante para componentes como:</w:t>
      </w:r>
      <w:r/>
    </w:p>
    <w:p w14:paraId="2779414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Carruseles de banners.</w:t>
      </w:r>
      <w:r/>
    </w:p>
    <w:p w14:paraId="72745D8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Galerías de productos.</w:t>
      </w:r>
      <w:r/>
    </w:p>
    <w:p w14:paraId="6CA6E67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Elementos visuales de la pantalla principal.</w:t>
      </w:r>
      <w:r/>
    </w:p>
    <w:p w14:paraId="11E23A1E">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Detalles de productos.</w:t>
      </w:r>
      <w:r/>
    </w:p>
    <w:p w14:paraId="076249F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Los componentes cuyo tamaño dependa de la pantalla deben calcular sus dimensiones utilizando el ancho real disponible en el dispositivo.</w:t>
      </w:r>
      <w:r/>
    </w:p>
    <w:p w14:paraId="673376E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w:t>
      </w:r>
      <w:r/>
    </w:p>
    <w:p w14:paraId="6ABB8515">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RehniMarket-mobile/src/screens/home/components/BannerCarousel.tsx</w:t>
      </w:r>
      <w:r/>
    </w:p>
    <w:p w14:paraId="698603C8">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Courier New" w:hAnsi="Courier New" w:eastAsia="Courier New" w:cs="Courier New"/>
          <w:color w:val="000000"/>
          <w:sz w:val="20"/>
        </w:rPr>
        <w:t xml:space="preserve">ProductGallery.tsx</w:t>
      </w:r>
      <w:r/>
    </w:p>
    <w:p w14:paraId="47B66589">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Uso de </w:t>
      </w:r>
      <w:r>
        <w:rPr>
          <w:rFonts w:ascii="Courier New" w:hAnsi="Courier New" w:eastAsia="Courier New" w:cs="Courier New"/>
          <w:color w:val="000000"/>
          <w:sz w:val="20"/>
        </w:rPr>
        <w:t xml:space="preserve">Dimensions.get</w:t>
      </w:r>
      <w:r/>
    </w:p>
    <w:p w14:paraId="412DB3DE">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Revisión del código fuente.</w:t>
      </w:r>
      <w:r/>
    </w:p>
    <w:p w14:paraId="5CC549B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Implementado</w:t>
      </w:r>
      <w:r/>
    </w:p>
    <w:p w14:paraId="7F98A9C4">
      <w:pPr>
        <w:pStyle w:val="705"/>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8"/>
        </w:rPr>
        <w:t xml:space="preserve">RNF-031 — Diseño diferenciado para dispositivos tablet</w:t>
      </w:r>
      <w:r/>
    </w:p>
    <w:p w14:paraId="1E579D7A">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Categoría:</w:t>
      </w:r>
      <w:r>
        <w:rPr>
          <w:rFonts w:ascii="Times New Roman" w:hAnsi="Times New Roman" w:eastAsia="Times New Roman" w:cs="Times New Roman"/>
          <w:color w:val="000000"/>
          <w:sz w:val="24"/>
        </w:rPr>
        <w:t xml:space="preserve"> Compatibilidad móvil</w:t>
      </w:r>
      <w:r/>
    </w:p>
    <w:p w14:paraId="2E55999F">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Descripción:</w:t>
        <w:br/>
      </w:r>
      <w:r>
        <w:rPr>
          <w:rFonts w:ascii="Times New Roman" w:hAnsi="Times New Roman" w:eastAsia="Times New Roman" w:cs="Times New Roman"/>
          <w:color w:val="000000"/>
          <w:sz w:val="24"/>
        </w:rPr>
        <w:t xml:space="preserve">La aplicación móvil debe contemplar una distribución específica para dispositivos tablet, aprovechando el mayor espacio disponible en este tipo de pantallas.</w:t>
      </w:r>
      <w:r/>
    </w:p>
    <w:p w14:paraId="0430ED68">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El diseño para tablet debe diferenciarse del diseño utilizado en teléfonos cuando el ancho de pantalla lo requiera.</w:t>
      </w:r>
      <w:r/>
    </w:p>
    <w:p w14:paraId="3013E93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Criterio de aceptación:</w:t>
        <w:br/>
      </w:r>
      <w:r>
        <w:rPr>
          <w:rFonts w:ascii="Times New Roman" w:hAnsi="Times New Roman" w:eastAsia="Times New Roman" w:cs="Times New Roman"/>
          <w:color w:val="000000"/>
          <w:sz w:val="24"/>
        </w:rPr>
        <w:t xml:space="preserve">La aplicación debe contar con al menos un punto de quiebre específico para tablet que permita modificar la distribución de los componentes.</w:t>
      </w:r>
      <w:r/>
    </w:p>
    <w:p w14:paraId="0C644270">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Por ejemplo, el sistema podría modificar:</w:t>
      </w:r>
      <w:r/>
    </w:p>
    <w:p w14:paraId="55F9B6D3">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Cantidad de columnas.</w:t>
      </w:r>
      <w:r/>
    </w:p>
    <w:p w14:paraId="43BB2734">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Distribución de productos.</w:t>
      </w:r>
      <w:r/>
    </w:p>
    <w:p w14:paraId="35DCB747">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Ancho de los componentes.</w:t>
      </w:r>
      <w:r/>
    </w:p>
    <w:p w14:paraId="6059FC2C">
      <w:pPr>
        <w:pStyle w:val="723"/>
        <w:numPr>
          <w:ilvl w:val="0"/>
          <w:numId w:val="10"/>
        </w:numPr>
        <w:pBdr>
          <w:top w:val="none" w:color="000000" w:sz="4" w:space="0"/>
          <w:left w:val="none" w:color="000000" w:sz="4" w:space="0"/>
          <w:bottom w:val="none" w:color="000000" w:sz="4" w:space="0"/>
          <w:right w:val="none" w:color="000000" w:sz="4" w:space="0"/>
        </w:pBdr>
        <w:spacing/>
        <w:ind w:right="0"/>
        <w:jc w:val="left"/>
        <w:rPr/>
      </w:pPr>
      <w:r>
        <w:rPr>
          <w:rFonts w:ascii="Times New Roman" w:hAnsi="Times New Roman" w:eastAsia="Times New Roman" w:cs="Times New Roman"/>
          <w:color w:val="000000"/>
          <w:sz w:val="24"/>
        </w:rPr>
        <w:t xml:space="preserve">Organización de las pantallas.</w:t>
      </w:r>
      <w:r/>
    </w:p>
    <w:p w14:paraId="0B4B08B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Evidencia actual:</w:t>
        <w:br/>
      </w:r>
      <w:r>
        <w:rPr>
          <w:rFonts w:ascii="Times New Roman" w:hAnsi="Times New Roman" w:eastAsia="Times New Roman" w:cs="Times New Roman"/>
          <w:color w:val="000000"/>
          <w:sz w:val="24"/>
        </w:rPr>
        <w:t xml:space="preserve">No se encontró el uso de </w:t>
      </w:r>
      <w:r>
        <w:rPr>
          <w:rFonts w:ascii="Courier New" w:hAnsi="Courier New" w:eastAsia="Courier New" w:cs="Courier New"/>
          <w:color w:val="000000"/>
          <w:sz w:val="20"/>
        </w:rPr>
        <w:t xml:space="preserve">useWindowDimensions</w:t>
      </w:r>
      <w:r>
        <w:rPr>
          <w:rFonts w:ascii="Times New Roman" w:hAnsi="Times New Roman" w:eastAsia="Times New Roman" w:cs="Times New Roman"/>
          <w:color w:val="000000"/>
          <w:sz w:val="24"/>
        </w:rPr>
        <w:t xml:space="preserve"> ni breakpoints específicos para tablet dentro de </w:t>
      </w:r>
      <w:r>
        <w:rPr>
          <w:rFonts w:ascii="Courier New" w:hAnsi="Courier New" w:eastAsia="Courier New" w:cs="Courier New"/>
          <w:color w:val="000000"/>
          <w:sz w:val="20"/>
        </w:rPr>
        <w:t xml:space="preserve">RehniMarket-mobile/src</w:t>
      </w:r>
      <w:r>
        <w:rPr>
          <w:rFonts w:ascii="Times New Roman" w:hAnsi="Times New Roman" w:eastAsia="Times New Roman" w:cs="Times New Roman"/>
          <w:color w:val="000000"/>
          <w:sz w:val="24"/>
        </w:rPr>
        <w:t xml:space="preserve">.</w:t>
      </w:r>
      <w:r/>
    </w:p>
    <w:p w14:paraId="114E98F4">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color w:val="000000"/>
          <w:sz w:val="24"/>
        </w:rPr>
        <w:t xml:space="preserve">Las grillas de productos utilizan actualmente una cantidad fija de columnas.</w:t>
      </w:r>
      <w:r/>
    </w:p>
    <w:p w14:paraId="34F6ED5D">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Método de verificación:</w:t>
        <w:br/>
      </w:r>
      <w:r>
        <w:rPr>
          <w:rFonts w:ascii="Times New Roman" w:hAnsi="Times New Roman" w:eastAsia="Times New Roman" w:cs="Times New Roman"/>
          <w:color w:val="000000"/>
          <w:sz w:val="24"/>
        </w:rPr>
        <w:t xml:space="preserve">Búsqueda y revisión del código fuente de la aplicación móvil.</w:t>
      </w:r>
      <w:r/>
    </w:p>
    <w:p w14:paraId="2C0C4513">
      <w:pPr>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24"/>
        </w:rPr>
        <w:t xml:space="preserve">Estado:</w:t>
      </w:r>
      <w:r>
        <w:rPr>
          <w:rFonts w:ascii="Times New Roman" w:hAnsi="Times New Roman" w:eastAsia="Times New Roman" w:cs="Times New Roman"/>
          <w:color w:val="000000"/>
          <w:sz w:val="24"/>
        </w:rPr>
        <w:t xml:space="preserve"> </w:t>
      </w:r>
      <w:r>
        <w:rPr>
          <w:rFonts w:ascii="Times New Roman" w:hAnsi="Times New Roman" w:eastAsia="Times New Roman" w:cs="Times New Roman"/>
          <w:b/>
          <w:color w:val="000000"/>
          <w:sz w:val="24"/>
        </w:rPr>
        <w:t xml:space="preserve">No implementado</w:t>
      </w:r>
      <w:r>
        <w:rPr>
          <w:rFonts w:ascii="Times New Roman" w:hAnsi="Times New Roman" w:eastAsia="Times New Roman" w:cs="Times New Roman"/>
          <w:color w:val="000000"/>
          <w:sz w:val="24"/>
        </w:rPr>
        <w:t xml:space="preserve">.</w:t>
      </w:r>
      <w:r/>
    </w:p>
    <w:p w14:paraId="66F570FC">
      <w:pPr>
        <w:pStyle w:val="704"/>
        <w:pBdr>
          <w:top w:val="none" w:color="000000" w:sz="4" w:space="0"/>
          <w:left w:val="none" w:color="000000" w:sz="4" w:space="0"/>
          <w:bottom w:val="none" w:color="000000" w:sz="4" w:space="0"/>
          <w:right w:val="none" w:color="000000" w:sz="4" w:space="0"/>
        </w:pBdr>
        <w:spacing/>
        <w:ind w:right="0" w:firstLine="0" w:left="0"/>
        <w:jc w:val="left"/>
        <w:rPr/>
      </w:pPr>
      <w:r>
        <w:rPr>
          <w:rFonts w:ascii="Times New Roman" w:hAnsi="Times New Roman" w:eastAsia="Times New Roman" w:cs="Times New Roman"/>
          <w:b/>
          <w:color w:val="000000"/>
          <w:sz w:val="36"/>
        </w:rPr>
        <w:t xml:space="preserve">Resumen de los 31 requisitos</w:t>
      </w:r>
      <w:r/>
    </w:p>
    <w:tbl>
      <w:tblPr>
        <w:tblStyle w:val="763"/>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907"/>
        <w:gridCol w:w="3792"/>
        <w:gridCol w:w="2113"/>
        <w:gridCol w:w="1726"/>
      </w:tblGrid>
      <w:tr>
        <w:trPr/>
        <w:tc>
          <w:tcPr>
            <w:tcBorders/>
            <w:tcMar>
              <w:left w:w="15" w:type="dxa"/>
              <w:top w:w="15" w:type="dxa"/>
              <w:right w:w="15" w:type="dxa"/>
              <w:bottom w:w="15" w:type="dxa"/>
            </w:tcMar>
            <w:tcW w:w="907" w:type="dxa"/>
            <w:vAlign w:val="center"/>
          </w:tcPr>
          <w:p w14:paraId="162B5BD6">
            <w:pPr>
              <w:pBdr/>
              <w:spacing w:after="0" w:before="0" w:line="240"/>
              <w:ind/>
              <w:jc w:val="left"/>
              <w:rPr/>
            </w:pPr>
            <w:r>
              <w:rPr>
                <w:rFonts w:ascii="Times New Roman" w:hAnsi="Times New Roman" w:eastAsia="Times New Roman" w:cs="Times New Roman"/>
                <w:b/>
                <w:color w:val="000000"/>
                <w:sz w:val="24"/>
              </w:rPr>
              <w:t xml:space="preserve">ID</w:t>
            </w:r>
            <w:r/>
          </w:p>
        </w:tc>
        <w:tc>
          <w:tcPr>
            <w:tcBorders/>
            <w:tcMar>
              <w:left w:w="15" w:type="dxa"/>
              <w:top w:w="15" w:type="dxa"/>
              <w:right w:w="15" w:type="dxa"/>
              <w:bottom w:w="15" w:type="dxa"/>
            </w:tcMar>
            <w:tcW w:w="3792" w:type="dxa"/>
            <w:vAlign w:val="center"/>
          </w:tcPr>
          <w:p w14:paraId="4BF49E7C">
            <w:pPr>
              <w:pBdr/>
              <w:spacing w:after="0" w:before="0" w:line="240"/>
              <w:ind/>
              <w:jc w:val="left"/>
              <w:rPr/>
            </w:pPr>
            <w:r>
              <w:rPr>
                <w:rFonts w:ascii="Times New Roman" w:hAnsi="Times New Roman" w:eastAsia="Times New Roman" w:cs="Times New Roman"/>
                <w:b/>
                <w:color w:val="000000"/>
                <w:sz w:val="24"/>
              </w:rPr>
              <w:t xml:space="preserve">Requisito</w:t>
            </w:r>
            <w:r/>
          </w:p>
        </w:tc>
        <w:tc>
          <w:tcPr>
            <w:tcBorders/>
            <w:tcMar>
              <w:left w:w="15" w:type="dxa"/>
              <w:top w:w="15" w:type="dxa"/>
              <w:right w:w="15" w:type="dxa"/>
              <w:bottom w:w="15" w:type="dxa"/>
            </w:tcMar>
            <w:tcW w:w="2113" w:type="dxa"/>
            <w:vAlign w:val="center"/>
          </w:tcPr>
          <w:p w14:paraId="74646C31">
            <w:pPr>
              <w:pBdr/>
              <w:spacing w:after="0" w:before="0" w:line="240"/>
              <w:ind/>
              <w:jc w:val="left"/>
              <w:rPr/>
            </w:pPr>
            <w:r>
              <w:rPr>
                <w:rFonts w:ascii="Times New Roman" w:hAnsi="Times New Roman" w:eastAsia="Times New Roman" w:cs="Times New Roman"/>
                <w:b/>
                <w:color w:val="000000"/>
                <w:sz w:val="24"/>
              </w:rPr>
              <w:t xml:space="preserve">Categoría</w:t>
            </w:r>
            <w:r/>
          </w:p>
        </w:tc>
        <w:tc>
          <w:tcPr>
            <w:tcBorders/>
            <w:tcMar>
              <w:left w:w="15" w:type="dxa"/>
              <w:top w:w="15" w:type="dxa"/>
              <w:right w:w="15" w:type="dxa"/>
              <w:bottom w:w="15" w:type="dxa"/>
            </w:tcMar>
            <w:tcW w:w="1726" w:type="dxa"/>
            <w:vAlign w:val="center"/>
          </w:tcPr>
          <w:p w14:paraId="1D890849">
            <w:pPr>
              <w:pBdr/>
              <w:spacing w:after="0" w:before="0" w:line="240"/>
              <w:ind/>
              <w:jc w:val="left"/>
              <w:rPr/>
            </w:pPr>
            <w:r>
              <w:rPr>
                <w:rFonts w:ascii="Times New Roman" w:hAnsi="Times New Roman" w:eastAsia="Times New Roman" w:cs="Times New Roman"/>
                <w:b/>
                <w:color w:val="000000"/>
                <w:sz w:val="24"/>
              </w:rPr>
              <w:t xml:space="preserve">Estado</w:t>
            </w:r>
            <w:r/>
          </w:p>
        </w:tc>
      </w:tr>
      <w:tr>
        <w:trPr/>
        <w:tc>
          <w:tcPr>
            <w:tcBorders/>
            <w:tcMar>
              <w:left w:w="15" w:type="dxa"/>
              <w:top w:w="15" w:type="dxa"/>
              <w:right w:w="15" w:type="dxa"/>
              <w:bottom w:w="15" w:type="dxa"/>
            </w:tcMar>
            <w:tcW w:w="907" w:type="dxa"/>
            <w:vAlign w:val="center"/>
          </w:tcPr>
          <w:p w14:paraId="3D771864">
            <w:pPr>
              <w:pBdr/>
              <w:spacing w:after="0" w:before="0" w:line="240"/>
              <w:ind/>
              <w:jc w:val="left"/>
              <w:rPr/>
            </w:pPr>
            <w:r>
              <w:rPr>
                <w:rFonts w:ascii="Times New Roman" w:hAnsi="Times New Roman" w:eastAsia="Times New Roman" w:cs="Times New Roman"/>
                <w:color w:val="000000"/>
                <w:sz w:val="24"/>
              </w:rPr>
              <w:t xml:space="preserve">RNF-001</w:t>
            </w:r>
            <w:r/>
          </w:p>
        </w:tc>
        <w:tc>
          <w:tcPr>
            <w:tcBorders/>
            <w:tcMar>
              <w:left w:w="15" w:type="dxa"/>
              <w:top w:w="15" w:type="dxa"/>
              <w:right w:w="15" w:type="dxa"/>
              <w:bottom w:w="15" w:type="dxa"/>
            </w:tcMar>
            <w:tcW w:w="3792" w:type="dxa"/>
            <w:vAlign w:val="center"/>
          </w:tcPr>
          <w:p w14:paraId="5581C0D5">
            <w:pPr>
              <w:pBdr/>
              <w:spacing w:after="0" w:before="0" w:line="240"/>
              <w:ind/>
              <w:jc w:val="left"/>
              <w:rPr/>
            </w:pPr>
            <w:r>
              <w:rPr>
                <w:rFonts w:ascii="Times New Roman" w:hAnsi="Times New Roman" w:eastAsia="Times New Roman" w:cs="Times New Roman"/>
                <w:color w:val="000000"/>
                <w:sz w:val="24"/>
              </w:rPr>
              <w:t xml:space="preserve">Autenticación JWT</w:t>
            </w:r>
            <w:r/>
          </w:p>
        </w:tc>
        <w:tc>
          <w:tcPr>
            <w:tcBorders/>
            <w:tcMar>
              <w:left w:w="15" w:type="dxa"/>
              <w:top w:w="15" w:type="dxa"/>
              <w:right w:w="15" w:type="dxa"/>
              <w:bottom w:w="15" w:type="dxa"/>
            </w:tcMar>
            <w:tcW w:w="2113" w:type="dxa"/>
            <w:vAlign w:val="center"/>
          </w:tcPr>
          <w:p w14:paraId="69C77258">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2D97DD4A">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407D9E2C">
            <w:pPr>
              <w:pBdr/>
              <w:spacing w:after="0" w:before="0" w:line="240"/>
              <w:ind/>
              <w:jc w:val="left"/>
              <w:rPr/>
            </w:pPr>
            <w:r>
              <w:rPr>
                <w:rFonts w:ascii="Times New Roman" w:hAnsi="Times New Roman" w:eastAsia="Times New Roman" w:cs="Times New Roman"/>
                <w:color w:val="000000"/>
                <w:sz w:val="24"/>
              </w:rPr>
              <w:t xml:space="preserve">RNF-002</w:t>
            </w:r>
            <w:r/>
          </w:p>
        </w:tc>
        <w:tc>
          <w:tcPr>
            <w:tcBorders/>
            <w:tcMar>
              <w:left w:w="15" w:type="dxa"/>
              <w:top w:w="15" w:type="dxa"/>
              <w:right w:w="15" w:type="dxa"/>
              <w:bottom w:w="15" w:type="dxa"/>
            </w:tcMar>
            <w:tcW w:w="3792" w:type="dxa"/>
            <w:vAlign w:val="center"/>
          </w:tcPr>
          <w:p w14:paraId="7996AE97">
            <w:pPr>
              <w:pBdr/>
              <w:spacing w:after="0" w:before="0" w:line="240"/>
              <w:ind/>
              <w:jc w:val="left"/>
              <w:rPr/>
            </w:pPr>
            <w:r>
              <w:rPr>
                <w:rFonts w:ascii="Times New Roman" w:hAnsi="Times New Roman" w:eastAsia="Times New Roman" w:cs="Times New Roman"/>
                <w:color w:val="000000"/>
                <w:sz w:val="24"/>
              </w:rPr>
              <w:t xml:space="preserve">Renovación silenciosa de sesión</w:t>
            </w:r>
            <w:r/>
          </w:p>
        </w:tc>
        <w:tc>
          <w:tcPr>
            <w:tcBorders/>
            <w:tcMar>
              <w:left w:w="15" w:type="dxa"/>
              <w:top w:w="15" w:type="dxa"/>
              <w:right w:w="15" w:type="dxa"/>
              <w:bottom w:w="15" w:type="dxa"/>
            </w:tcMar>
            <w:tcW w:w="2113" w:type="dxa"/>
            <w:vAlign w:val="center"/>
          </w:tcPr>
          <w:p w14:paraId="41E37C3B">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67E97537">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6359546D">
            <w:pPr>
              <w:pBdr/>
              <w:spacing w:after="0" w:before="0" w:line="240"/>
              <w:ind/>
              <w:jc w:val="left"/>
              <w:rPr/>
            </w:pPr>
            <w:r>
              <w:rPr>
                <w:rFonts w:ascii="Times New Roman" w:hAnsi="Times New Roman" w:eastAsia="Times New Roman" w:cs="Times New Roman"/>
                <w:color w:val="000000"/>
                <w:sz w:val="24"/>
              </w:rPr>
              <w:t xml:space="preserve">RNF-003</w:t>
            </w:r>
            <w:r/>
          </w:p>
        </w:tc>
        <w:tc>
          <w:tcPr>
            <w:tcBorders/>
            <w:tcMar>
              <w:left w:w="15" w:type="dxa"/>
              <w:top w:w="15" w:type="dxa"/>
              <w:right w:w="15" w:type="dxa"/>
              <w:bottom w:w="15" w:type="dxa"/>
            </w:tcMar>
            <w:tcW w:w="3792" w:type="dxa"/>
            <w:vAlign w:val="center"/>
          </w:tcPr>
          <w:p w14:paraId="3378BE16">
            <w:pPr>
              <w:pBdr/>
              <w:spacing w:after="0" w:before="0" w:line="240"/>
              <w:ind/>
              <w:jc w:val="left"/>
              <w:rPr/>
            </w:pPr>
            <w:r>
              <w:rPr>
                <w:rFonts w:ascii="Times New Roman" w:hAnsi="Times New Roman" w:eastAsia="Times New Roman" w:cs="Times New Roman"/>
                <w:color w:val="000000"/>
                <w:sz w:val="24"/>
              </w:rPr>
              <w:t xml:space="preserve">Autorización por rol y ruta</w:t>
            </w:r>
            <w:r/>
          </w:p>
        </w:tc>
        <w:tc>
          <w:tcPr>
            <w:tcBorders/>
            <w:tcMar>
              <w:left w:w="15" w:type="dxa"/>
              <w:top w:w="15" w:type="dxa"/>
              <w:right w:w="15" w:type="dxa"/>
              <w:bottom w:w="15" w:type="dxa"/>
            </w:tcMar>
            <w:tcW w:w="2113" w:type="dxa"/>
            <w:vAlign w:val="center"/>
          </w:tcPr>
          <w:p w14:paraId="5BEA7FBD">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296F7358">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4177C643">
            <w:pPr>
              <w:pBdr/>
              <w:spacing w:after="0" w:before="0" w:line="240"/>
              <w:ind/>
              <w:jc w:val="left"/>
              <w:rPr/>
            </w:pPr>
            <w:r>
              <w:rPr>
                <w:rFonts w:ascii="Times New Roman" w:hAnsi="Times New Roman" w:eastAsia="Times New Roman" w:cs="Times New Roman"/>
                <w:color w:val="000000"/>
                <w:sz w:val="24"/>
              </w:rPr>
              <w:t xml:space="preserve">RNF-004</w:t>
            </w:r>
            <w:r/>
          </w:p>
        </w:tc>
        <w:tc>
          <w:tcPr>
            <w:tcBorders/>
            <w:tcMar>
              <w:left w:w="15" w:type="dxa"/>
              <w:top w:w="15" w:type="dxa"/>
              <w:right w:w="15" w:type="dxa"/>
              <w:bottom w:w="15" w:type="dxa"/>
            </w:tcMar>
            <w:tcW w:w="3792" w:type="dxa"/>
            <w:vAlign w:val="center"/>
          </w:tcPr>
          <w:p w14:paraId="13B8ED0F">
            <w:pPr>
              <w:pBdr/>
              <w:spacing w:after="0" w:before="0" w:line="240"/>
              <w:ind/>
              <w:jc w:val="left"/>
              <w:rPr/>
            </w:pPr>
            <w:r>
              <w:rPr>
                <w:rFonts w:ascii="Times New Roman" w:hAnsi="Times New Roman" w:eastAsia="Times New Roman" w:cs="Times New Roman"/>
                <w:color w:val="000000"/>
                <w:sz w:val="24"/>
              </w:rPr>
              <w:t xml:space="preserve">Verificación de pertenencia</w:t>
            </w:r>
            <w:r/>
          </w:p>
        </w:tc>
        <w:tc>
          <w:tcPr>
            <w:tcBorders/>
            <w:tcMar>
              <w:left w:w="15" w:type="dxa"/>
              <w:top w:w="15" w:type="dxa"/>
              <w:right w:w="15" w:type="dxa"/>
              <w:bottom w:w="15" w:type="dxa"/>
            </w:tcMar>
            <w:tcW w:w="2113" w:type="dxa"/>
            <w:vAlign w:val="center"/>
          </w:tcPr>
          <w:p w14:paraId="2974AFD1">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5A9A3B10">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1C766FC1">
            <w:pPr>
              <w:pBdr/>
              <w:spacing w:after="0" w:before="0" w:line="240"/>
              <w:ind/>
              <w:jc w:val="left"/>
              <w:rPr/>
            </w:pPr>
            <w:r>
              <w:rPr>
                <w:rFonts w:ascii="Times New Roman" w:hAnsi="Times New Roman" w:eastAsia="Times New Roman" w:cs="Times New Roman"/>
                <w:color w:val="000000"/>
                <w:sz w:val="24"/>
              </w:rPr>
              <w:t xml:space="preserve">RNF-005</w:t>
            </w:r>
            <w:r/>
          </w:p>
        </w:tc>
        <w:tc>
          <w:tcPr>
            <w:tcBorders/>
            <w:tcMar>
              <w:left w:w="15" w:type="dxa"/>
              <w:top w:w="15" w:type="dxa"/>
              <w:right w:w="15" w:type="dxa"/>
              <w:bottom w:w="15" w:type="dxa"/>
            </w:tcMar>
            <w:tcW w:w="3792" w:type="dxa"/>
            <w:vAlign w:val="center"/>
          </w:tcPr>
          <w:p w14:paraId="434505A5">
            <w:pPr>
              <w:pBdr/>
              <w:spacing w:after="0" w:before="0" w:line="240"/>
              <w:ind/>
              <w:jc w:val="left"/>
              <w:rPr/>
            </w:pPr>
            <w:r>
              <w:rPr>
                <w:rFonts w:ascii="Times New Roman" w:hAnsi="Times New Roman" w:eastAsia="Times New Roman" w:cs="Times New Roman"/>
                <w:color w:val="000000"/>
                <w:sz w:val="24"/>
              </w:rPr>
              <w:t xml:space="preserve">Protección de contraseñas</w:t>
            </w:r>
            <w:r/>
          </w:p>
        </w:tc>
        <w:tc>
          <w:tcPr>
            <w:tcBorders/>
            <w:tcMar>
              <w:left w:w="15" w:type="dxa"/>
              <w:top w:w="15" w:type="dxa"/>
              <w:right w:w="15" w:type="dxa"/>
              <w:bottom w:w="15" w:type="dxa"/>
            </w:tcMar>
            <w:tcW w:w="2113" w:type="dxa"/>
            <w:vAlign w:val="center"/>
          </w:tcPr>
          <w:p w14:paraId="68B5C196">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5DBD9629">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73701235">
            <w:pPr>
              <w:pBdr/>
              <w:spacing w:after="0" w:before="0" w:line="240"/>
              <w:ind/>
              <w:jc w:val="left"/>
              <w:rPr/>
            </w:pPr>
            <w:r>
              <w:rPr>
                <w:rFonts w:ascii="Times New Roman" w:hAnsi="Times New Roman" w:eastAsia="Times New Roman" w:cs="Times New Roman"/>
                <w:color w:val="000000"/>
                <w:sz w:val="24"/>
              </w:rPr>
              <w:t xml:space="preserve">RNF-006</w:t>
            </w:r>
            <w:r/>
          </w:p>
        </w:tc>
        <w:tc>
          <w:tcPr>
            <w:tcBorders/>
            <w:tcMar>
              <w:left w:w="15" w:type="dxa"/>
              <w:top w:w="15" w:type="dxa"/>
              <w:right w:w="15" w:type="dxa"/>
              <w:bottom w:w="15" w:type="dxa"/>
            </w:tcMar>
            <w:tcW w:w="3792" w:type="dxa"/>
            <w:vAlign w:val="center"/>
          </w:tcPr>
          <w:p w14:paraId="6405DC26">
            <w:pPr>
              <w:pBdr/>
              <w:spacing w:after="0" w:before="0" w:line="240"/>
              <w:ind/>
              <w:jc w:val="left"/>
              <w:rPr/>
            </w:pPr>
            <w:r>
              <w:rPr>
                <w:rFonts w:ascii="Times New Roman" w:hAnsi="Times New Roman" w:eastAsia="Times New Roman" w:cs="Times New Roman"/>
                <w:color w:val="000000"/>
                <w:sz w:val="24"/>
              </w:rPr>
              <w:t xml:space="preserve">Verificación de correo</w:t>
            </w:r>
            <w:r/>
          </w:p>
        </w:tc>
        <w:tc>
          <w:tcPr>
            <w:tcBorders/>
            <w:tcMar>
              <w:left w:w="15" w:type="dxa"/>
              <w:top w:w="15" w:type="dxa"/>
              <w:right w:w="15" w:type="dxa"/>
              <w:bottom w:w="15" w:type="dxa"/>
            </w:tcMar>
            <w:tcW w:w="2113" w:type="dxa"/>
            <w:vAlign w:val="center"/>
          </w:tcPr>
          <w:p w14:paraId="22E9D856">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6E14EAA8">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0588261C">
            <w:pPr>
              <w:pBdr/>
              <w:spacing w:after="0" w:before="0" w:line="240"/>
              <w:ind/>
              <w:jc w:val="left"/>
              <w:rPr/>
            </w:pPr>
            <w:r>
              <w:rPr>
                <w:rFonts w:ascii="Times New Roman" w:hAnsi="Times New Roman" w:eastAsia="Times New Roman" w:cs="Times New Roman"/>
                <w:color w:val="000000"/>
                <w:sz w:val="24"/>
              </w:rPr>
              <w:t xml:space="preserve">RNF-007</w:t>
            </w:r>
            <w:r/>
          </w:p>
        </w:tc>
        <w:tc>
          <w:tcPr>
            <w:tcBorders/>
            <w:tcMar>
              <w:left w:w="15" w:type="dxa"/>
              <w:top w:w="15" w:type="dxa"/>
              <w:right w:w="15" w:type="dxa"/>
              <w:bottom w:w="15" w:type="dxa"/>
            </w:tcMar>
            <w:tcW w:w="3792" w:type="dxa"/>
            <w:vAlign w:val="center"/>
          </w:tcPr>
          <w:p w14:paraId="4336ADFC">
            <w:pPr>
              <w:pBdr/>
              <w:spacing w:after="0" w:before="0" w:line="240"/>
              <w:ind/>
              <w:jc w:val="left"/>
              <w:rPr/>
            </w:pPr>
            <w:r>
              <w:rPr>
                <w:rFonts w:ascii="Times New Roman" w:hAnsi="Times New Roman" w:eastAsia="Times New Roman" w:cs="Times New Roman"/>
                <w:color w:val="000000"/>
                <w:sz w:val="24"/>
              </w:rPr>
              <w:t xml:space="preserve">Recuperación segura de contraseña</w:t>
            </w:r>
            <w:r/>
          </w:p>
        </w:tc>
        <w:tc>
          <w:tcPr>
            <w:tcBorders/>
            <w:tcMar>
              <w:left w:w="15" w:type="dxa"/>
              <w:top w:w="15" w:type="dxa"/>
              <w:right w:w="15" w:type="dxa"/>
              <w:bottom w:w="15" w:type="dxa"/>
            </w:tcMar>
            <w:tcW w:w="2113" w:type="dxa"/>
            <w:vAlign w:val="center"/>
          </w:tcPr>
          <w:p w14:paraId="4364E94A">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67705DC9">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737B250D">
            <w:pPr>
              <w:pBdr/>
              <w:spacing w:after="0" w:before="0" w:line="240"/>
              <w:ind/>
              <w:jc w:val="left"/>
              <w:rPr/>
            </w:pPr>
            <w:r>
              <w:rPr>
                <w:rFonts w:ascii="Times New Roman" w:hAnsi="Times New Roman" w:eastAsia="Times New Roman" w:cs="Times New Roman"/>
                <w:color w:val="000000"/>
                <w:sz w:val="24"/>
              </w:rPr>
              <w:t xml:space="preserve">RNF-008</w:t>
            </w:r>
            <w:r/>
          </w:p>
        </w:tc>
        <w:tc>
          <w:tcPr>
            <w:tcBorders/>
            <w:tcMar>
              <w:left w:w="15" w:type="dxa"/>
              <w:top w:w="15" w:type="dxa"/>
              <w:right w:w="15" w:type="dxa"/>
              <w:bottom w:w="15" w:type="dxa"/>
            </w:tcMar>
            <w:tcW w:w="3792" w:type="dxa"/>
            <w:vAlign w:val="center"/>
          </w:tcPr>
          <w:p w14:paraId="4C719861">
            <w:pPr>
              <w:pBdr/>
              <w:spacing w:after="0" w:before="0" w:line="240"/>
              <w:ind/>
              <w:jc w:val="left"/>
              <w:rPr/>
            </w:pPr>
            <w:r>
              <w:rPr>
                <w:rFonts w:ascii="Times New Roman" w:hAnsi="Times New Roman" w:eastAsia="Times New Roman" w:cs="Times New Roman"/>
                <w:color w:val="000000"/>
                <w:sz w:val="24"/>
              </w:rPr>
              <w:t xml:space="preserve">Protección de secretos</w:t>
            </w:r>
            <w:r/>
          </w:p>
        </w:tc>
        <w:tc>
          <w:tcPr>
            <w:tcBorders/>
            <w:tcMar>
              <w:left w:w="15" w:type="dxa"/>
              <w:top w:w="15" w:type="dxa"/>
              <w:right w:w="15" w:type="dxa"/>
              <w:bottom w:w="15" w:type="dxa"/>
            </w:tcMar>
            <w:tcW w:w="2113" w:type="dxa"/>
            <w:vAlign w:val="center"/>
          </w:tcPr>
          <w:p w14:paraId="41CC0F6B">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0A5A3C62">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45CCEC6A">
            <w:pPr>
              <w:pBdr/>
              <w:spacing w:after="0" w:before="0" w:line="240"/>
              <w:ind/>
              <w:jc w:val="left"/>
              <w:rPr/>
            </w:pPr>
            <w:r>
              <w:rPr>
                <w:rFonts w:ascii="Times New Roman" w:hAnsi="Times New Roman" w:eastAsia="Times New Roman" w:cs="Times New Roman"/>
                <w:color w:val="000000"/>
                <w:sz w:val="24"/>
              </w:rPr>
              <w:t xml:space="preserve">RNF-009</w:t>
            </w:r>
            <w:r/>
          </w:p>
        </w:tc>
        <w:tc>
          <w:tcPr>
            <w:tcBorders/>
            <w:tcMar>
              <w:left w:w="15" w:type="dxa"/>
              <w:top w:w="15" w:type="dxa"/>
              <w:right w:w="15" w:type="dxa"/>
              <w:bottom w:w="15" w:type="dxa"/>
            </w:tcMar>
            <w:tcW w:w="3792" w:type="dxa"/>
            <w:vAlign w:val="center"/>
          </w:tcPr>
          <w:p w14:paraId="3D02D753">
            <w:pPr>
              <w:pBdr/>
              <w:spacing w:after="0" w:before="0" w:line="240"/>
              <w:ind/>
              <w:jc w:val="left"/>
              <w:rPr/>
            </w:pPr>
            <w:r>
              <w:rPr>
                <w:rFonts w:ascii="Times New Roman" w:hAnsi="Times New Roman" w:eastAsia="Times New Roman" w:cs="Times New Roman"/>
                <w:color w:val="000000"/>
                <w:sz w:val="24"/>
              </w:rPr>
              <w:t xml:space="preserve">Almacenamiento seguro móvil</w:t>
            </w:r>
            <w:r/>
          </w:p>
        </w:tc>
        <w:tc>
          <w:tcPr>
            <w:tcBorders/>
            <w:tcMar>
              <w:left w:w="15" w:type="dxa"/>
              <w:top w:w="15" w:type="dxa"/>
              <w:right w:w="15" w:type="dxa"/>
              <w:bottom w:w="15" w:type="dxa"/>
            </w:tcMar>
            <w:tcW w:w="2113" w:type="dxa"/>
            <w:vAlign w:val="center"/>
          </w:tcPr>
          <w:p w14:paraId="639B863A">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165F51C7">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20E54261">
            <w:pPr>
              <w:pBdr/>
              <w:spacing w:after="0" w:before="0" w:line="240"/>
              <w:ind/>
              <w:jc w:val="left"/>
              <w:rPr/>
            </w:pPr>
            <w:r>
              <w:rPr>
                <w:rFonts w:ascii="Times New Roman" w:hAnsi="Times New Roman" w:eastAsia="Times New Roman" w:cs="Times New Roman"/>
                <w:color w:val="000000"/>
                <w:sz w:val="24"/>
              </w:rPr>
              <w:t xml:space="preserve">RNF-010</w:t>
            </w:r>
            <w:r/>
          </w:p>
        </w:tc>
        <w:tc>
          <w:tcPr>
            <w:tcBorders/>
            <w:tcMar>
              <w:left w:w="15" w:type="dxa"/>
              <w:top w:w="15" w:type="dxa"/>
              <w:right w:w="15" w:type="dxa"/>
              <w:bottom w:w="15" w:type="dxa"/>
            </w:tcMar>
            <w:tcW w:w="3792" w:type="dxa"/>
            <w:vAlign w:val="center"/>
          </w:tcPr>
          <w:p w14:paraId="4339865E">
            <w:pPr>
              <w:pBdr/>
              <w:spacing w:after="0" w:before="0" w:line="240"/>
              <w:ind/>
              <w:jc w:val="left"/>
              <w:rPr/>
            </w:pPr>
            <w:r>
              <w:rPr>
                <w:rFonts w:ascii="Times New Roman" w:hAnsi="Times New Roman" w:eastAsia="Times New Roman" w:cs="Times New Roman"/>
                <w:color w:val="000000"/>
                <w:sz w:val="24"/>
              </w:rPr>
              <w:t xml:space="preserve">Restricción de acciones administrativas</w:t>
            </w:r>
            <w:r/>
          </w:p>
        </w:tc>
        <w:tc>
          <w:tcPr>
            <w:tcBorders/>
            <w:tcMar>
              <w:left w:w="15" w:type="dxa"/>
              <w:top w:w="15" w:type="dxa"/>
              <w:right w:w="15" w:type="dxa"/>
              <w:bottom w:w="15" w:type="dxa"/>
            </w:tcMar>
            <w:tcW w:w="2113" w:type="dxa"/>
            <w:vAlign w:val="center"/>
          </w:tcPr>
          <w:p w14:paraId="34843C3C">
            <w:pPr>
              <w:pBdr/>
              <w:spacing w:after="0" w:before="0" w:line="240"/>
              <w:ind/>
              <w:jc w:val="left"/>
              <w:rPr/>
            </w:pPr>
            <w:r>
              <w:rPr>
                <w:rFonts w:ascii="Times New Roman" w:hAnsi="Times New Roman" w:eastAsia="Times New Roman" w:cs="Times New Roman"/>
                <w:color w:val="000000"/>
                <w:sz w:val="24"/>
              </w:rPr>
              <w:t xml:space="preserve">Seguridad</w:t>
            </w:r>
            <w:r/>
          </w:p>
        </w:tc>
        <w:tc>
          <w:tcPr>
            <w:tcBorders/>
            <w:tcMar>
              <w:left w:w="15" w:type="dxa"/>
              <w:top w:w="15" w:type="dxa"/>
              <w:right w:w="15" w:type="dxa"/>
              <w:bottom w:w="15" w:type="dxa"/>
            </w:tcMar>
            <w:tcW w:w="1726" w:type="dxa"/>
            <w:vAlign w:val="center"/>
          </w:tcPr>
          <w:p w14:paraId="1AFA0B1A">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71DA52F5">
            <w:pPr>
              <w:pBdr/>
              <w:spacing w:after="0" w:before="0" w:line="240"/>
              <w:ind/>
              <w:jc w:val="left"/>
              <w:rPr/>
            </w:pPr>
            <w:r>
              <w:rPr>
                <w:rFonts w:ascii="Times New Roman" w:hAnsi="Times New Roman" w:eastAsia="Times New Roman" w:cs="Times New Roman"/>
                <w:color w:val="000000"/>
                <w:sz w:val="24"/>
              </w:rPr>
              <w:t xml:space="preserve">RNF-011</w:t>
            </w:r>
            <w:r/>
          </w:p>
        </w:tc>
        <w:tc>
          <w:tcPr>
            <w:tcBorders/>
            <w:tcMar>
              <w:left w:w="15" w:type="dxa"/>
              <w:top w:w="15" w:type="dxa"/>
              <w:right w:w="15" w:type="dxa"/>
              <w:bottom w:w="15" w:type="dxa"/>
            </w:tcMar>
            <w:tcW w:w="3792" w:type="dxa"/>
            <w:vAlign w:val="center"/>
          </w:tcPr>
          <w:p w14:paraId="6ED041C6">
            <w:pPr>
              <w:pBdr/>
              <w:spacing w:after="0" w:before="0" w:line="240"/>
              <w:ind/>
              <w:jc w:val="left"/>
              <w:rPr/>
            </w:pPr>
            <w:r>
              <w:rPr>
                <w:rFonts w:ascii="Times New Roman" w:hAnsi="Times New Roman" w:eastAsia="Times New Roman" w:cs="Times New Roman"/>
                <w:color w:val="000000"/>
                <w:sz w:val="24"/>
              </w:rPr>
              <w:t xml:space="preserve">Paginación</w:t>
            </w:r>
            <w:r/>
          </w:p>
        </w:tc>
        <w:tc>
          <w:tcPr>
            <w:tcBorders/>
            <w:tcMar>
              <w:left w:w="15" w:type="dxa"/>
              <w:top w:w="15" w:type="dxa"/>
              <w:right w:w="15" w:type="dxa"/>
              <w:bottom w:w="15" w:type="dxa"/>
            </w:tcMar>
            <w:tcW w:w="2113" w:type="dxa"/>
            <w:vAlign w:val="center"/>
          </w:tcPr>
          <w:p w14:paraId="2DE47786">
            <w:pPr>
              <w:pBdr/>
              <w:spacing w:after="0" w:before="0" w:line="240"/>
              <w:ind/>
              <w:jc w:val="left"/>
              <w:rPr/>
            </w:pPr>
            <w:r>
              <w:rPr>
                <w:rFonts w:ascii="Times New Roman" w:hAnsi="Times New Roman" w:eastAsia="Times New Roman" w:cs="Times New Roman"/>
                <w:color w:val="000000"/>
                <w:sz w:val="24"/>
              </w:rPr>
              <w:t xml:space="preserve">Rendimiento</w:t>
            </w:r>
            <w:r/>
          </w:p>
        </w:tc>
        <w:tc>
          <w:tcPr>
            <w:tcBorders/>
            <w:tcMar>
              <w:left w:w="15" w:type="dxa"/>
              <w:top w:w="15" w:type="dxa"/>
              <w:right w:w="15" w:type="dxa"/>
              <w:bottom w:w="15" w:type="dxa"/>
            </w:tcMar>
            <w:tcW w:w="1726" w:type="dxa"/>
            <w:vAlign w:val="center"/>
          </w:tcPr>
          <w:p w14:paraId="4EC70FA5">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6C42B01D">
            <w:pPr>
              <w:pBdr/>
              <w:spacing w:after="0" w:before="0" w:line="240"/>
              <w:ind/>
              <w:jc w:val="left"/>
              <w:rPr/>
            </w:pPr>
            <w:r>
              <w:rPr>
                <w:rFonts w:ascii="Times New Roman" w:hAnsi="Times New Roman" w:eastAsia="Times New Roman" w:cs="Times New Roman"/>
                <w:color w:val="000000"/>
                <w:sz w:val="24"/>
              </w:rPr>
              <w:t xml:space="preserve">RNF-012</w:t>
            </w:r>
            <w:r/>
          </w:p>
        </w:tc>
        <w:tc>
          <w:tcPr>
            <w:tcBorders/>
            <w:tcMar>
              <w:left w:w="15" w:type="dxa"/>
              <w:top w:w="15" w:type="dxa"/>
              <w:right w:w="15" w:type="dxa"/>
              <w:bottom w:w="15" w:type="dxa"/>
            </w:tcMar>
            <w:tcW w:w="3792" w:type="dxa"/>
            <w:vAlign w:val="center"/>
          </w:tcPr>
          <w:p w14:paraId="0BB51286">
            <w:pPr>
              <w:pBdr/>
              <w:spacing w:after="0" w:before="0" w:line="240"/>
              <w:ind/>
              <w:jc w:val="left"/>
              <w:rPr/>
            </w:pPr>
            <w:r>
              <w:rPr>
                <w:rFonts w:ascii="Times New Roman" w:hAnsi="Times New Roman" w:eastAsia="Times New Roman" w:cs="Times New Roman"/>
                <w:color w:val="000000"/>
                <w:sz w:val="24"/>
              </w:rPr>
              <w:t xml:space="preserve">Consultas agrupadas</w:t>
            </w:r>
            <w:r/>
          </w:p>
        </w:tc>
        <w:tc>
          <w:tcPr>
            <w:tcBorders/>
            <w:tcMar>
              <w:left w:w="15" w:type="dxa"/>
              <w:top w:w="15" w:type="dxa"/>
              <w:right w:w="15" w:type="dxa"/>
              <w:bottom w:w="15" w:type="dxa"/>
            </w:tcMar>
            <w:tcW w:w="2113" w:type="dxa"/>
            <w:vAlign w:val="center"/>
          </w:tcPr>
          <w:p w14:paraId="20F1B904">
            <w:pPr>
              <w:pBdr/>
              <w:spacing w:after="0" w:before="0" w:line="240"/>
              <w:ind/>
              <w:jc w:val="left"/>
              <w:rPr/>
            </w:pPr>
            <w:r>
              <w:rPr>
                <w:rFonts w:ascii="Times New Roman" w:hAnsi="Times New Roman" w:eastAsia="Times New Roman" w:cs="Times New Roman"/>
                <w:color w:val="000000"/>
                <w:sz w:val="24"/>
              </w:rPr>
              <w:t xml:space="preserve">Rendimiento</w:t>
            </w:r>
            <w:r/>
          </w:p>
        </w:tc>
        <w:tc>
          <w:tcPr>
            <w:tcBorders/>
            <w:tcMar>
              <w:left w:w="15" w:type="dxa"/>
              <w:top w:w="15" w:type="dxa"/>
              <w:right w:w="15" w:type="dxa"/>
              <w:bottom w:w="15" w:type="dxa"/>
            </w:tcMar>
            <w:tcW w:w="1726" w:type="dxa"/>
            <w:vAlign w:val="center"/>
          </w:tcPr>
          <w:p w14:paraId="794581F1">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0D04F2C3">
            <w:pPr>
              <w:pBdr/>
              <w:spacing w:after="0" w:before="0" w:line="240"/>
              <w:ind/>
              <w:jc w:val="left"/>
              <w:rPr/>
            </w:pPr>
            <w:r>
              <w:rPr>
                <w:rFonts w:ascii="Times New Roman" w:hAnsi="Times New Roman" w:eastAsia="Times New Roman" w:cs="Times New Roman"/>
                <w:color w:val="000000"/>
                <w:sz w:val="24"/>
              </w:rPr>
              <w:t xml:space="preserve">RNF-013</w:t>
            </w:r>
            <w:r/>
          </w:p>
        </w:tc>
        <w:tc>
          <w:tcPr>
            <w:tcBorders/>
            <w:tcMar>
              <w:left w:w="15" w:type="dxa"/>
              <w:top w:w="15" w:type="dxa"/>
              <w:right w:w="15" w:type="dxa"/>
              <w:bottom w:w="15" w:type="dxa"/>
            </w:tcMar>
            <w:tcW w:w="3792" w:type="dxa"/>
            <w:vAlign w:val="center"/>
          </w:tcPr>
          <w:p w14:paraId="0B77A529">
            <w:pPr>
              <w:pBdr/>
              <w:spacing w:after="0" w:before="0" w:line="240"/>
              <w:ind/>
              <w:jc w:val="left"/>
              <w:rPr/>
            </w:pPr>
            <w:r>
              <w:rPr>
                <w:rFonts w:ascii="Times New Roman" w:hAnsi="Times New Roman" w:eastAsia="Times New Roman" w:cs="Times New Roman"/>
                <w:color w:val="000000"/>
                <w:sz w:val="24"/>
              </w:rPr>
              <w:t xml:space="preserve">Contrato de errores</w:t>
            </w:r>
            <w:r/>
          </w:p>
        </w:tc>
        <w:tc>
          <w:tcPr>
            <w:tcBorders/>
            <w:tcMar>
              <w:left w:w="15" w:type="dxa"/>
              <w:top w:w="15" w:type="dxa"/>
              <w:right w:w="15" w:type="dxa"/>
              <w:bottom w:w="15" w:type="dxa"/>
            </w:tcMar>
            <w:tcW w:w="2113" w:type="dxa"/>
            <w:vAlign w:val="center"/>
          </w:tcPr>
          <w:p w14:paraId="6FEF965D">
            <w:pPr>
              <w:pBdr/>
              <w:spacing w:after="0" w:before="0" w:line="240"/>
              <w:ind/>
              <w:jc w:val="left"/>
              <w:rPr/>
            </w:pPr>
            <w:r>
              <w:rPr>
                <w:rFonts w:ascii="Times New Roman" w:hAnsi="Times New Roman" w:eastAsia="Times New Roman" w:cs="Times New Roman"/>
                <w:color w:val="000000"/>
                <w:sz w:val="24"/>
              </w:rPr>
              <w:t xml:space="preserve">Usabilidad</w:t>
            </w:r>
            <w:r/>
          </w:p>
        </w:tc>
        <w:tc>
          <w:tcPr>
            <w:tcBorders/>
            <w:tcMar>
              <w:left w:w="15" w:type="dxa"/>
              <w:top w:w="15" w:type="dxa"/>
              <w:right w:w="15" w:type="dxa"/>
              <w:bottom w:w="15" w:type="dxa"/>
            </w:tcMar>
            <w:tcW w:w="1726" w:type="dxa"/>
            <w:vAlign w:val="center"/>
          </w:tcPr>
          <w:p w14:paraId="23D732C5">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1CD9C82E">
            <w:pPr>
              <w:pBdr/>
              <w:spacing w:after="0" w:before="0" w:line="240"/>
              <w:ind/>
              <w:jc w:val="left"/>
              <w:rPr/>
            </w:pPr>
            <w:r>
              <w:rPr>
                <w:rFonts w:ascii="Times New Roman" w:hAnsi="Times New Roman" w:eastAsia="Times New Roman" w:cs="Times New Roman"/>
                <w:color w:val="000000"/>
                <w:sz w:val="24"/>
              </w:rPr>
              <w:t xml:space="preserve">RNF-014</w:t>
            </w:r>
            <w:r/>
          </w:p>
        </w:tc>
        <w:tc>
          <w:tcPr>
            <w:tcBorders/>
            <w:tcMar>
              <w:left w:w="15" w:type="dxa"/>
              <w:top w:w="15" w:type="dxa"/>
              <w:right w:w="15" w:type="dxa"/>
              <w:bottom w:w="15" w:type="dxa"/>
            </w:tcMar>
            <w:tcW w:w="3792" w:type="dxa"/>
            <w:vAlign w:val="center"/>
          </w:tcPr>
          <w:p w14:paraId="20A04B29">
            <w:pPr>
              <w:pBdr/>
              <w:spacing w:after="0" w:before="0" w:line="240"/>
              <w:ind/>
              <w:jc w:val="left"/>
              <w:rPr/>
            </w:pPr>
            <w:r>
              <w:rPr>
                <w:rFonts w:ascii="Times New Roman" w:hAnsi="Times New Roman" w:eastAsia="Times New Roman" w:cs="Times New Roman"/>
                <w:color w:val="000000"/>
                <w:sz w:val="24"/>
              </w:rPr>
              <w:t xml:space="preserve">Restauración del contexto</w:t>
            </w:r>
            <w:r/>
          </w:p>
        </w:tc>
        <w:tc>
          <w:tcPr>
            <w:tcBorders/>
            <w:tcMar>
              <w:left w:w="15" w:type="dxa"/>
              <w:top w:w="15" w:type="dxa"/>
              <w:right w:w="15" w:type="dxa"/>
              <w:bottom w:w="15" w:type="dxa"/>
            </w:tcMar>
            <w:tcW w:w="2113" w:type="dxa"/>
            <w:vAlign w:val="center"/>
          </w:tcPr>
          <w:p w14:paraId="2BBB0F48">
            <w:pPr>
              <w:pBdr/>
              <w:spacing w:after="0" w:before="0" w:line="240"/>
              <w:ind/>
              <w:jc w:val="left"/>
              <w:rPr/>
            </w:pPr>
            <w:r>
              <w:rPr>
                <w:rFonts w:ascii="Times New Roman" w:hAnsi="Times New Roman" w:eastAsia="Times New Roman" w:cs="Times New Roman"/>
                <w:color w:val="000000"/>
                <w:sz w:val="24"/>
              </w:rPr>
              <w:t xml:space="preserve">Usabilidad</w:t>
            </w:r>
            <w:r/>
          </w:p>
        </w:tc>
        <w:tc>
          <w:tcPr>
            <w:tcBorders/>
            <w:tcMar>
              <w:left w:w="15" w:type="dxa"/>
              <w:top w:w="15" w:type="dxa"/>
              <w:right w:w="15" w:type="dxa"/>
              <w:bottom w:w="15" w:type="dxa"/>
            </w:tcMar>
            <w:tcW w:w="1726" w:type="dxa"/>
            <w:vAlign w:val="center"/>
          </w:tcPr>
          <w:p w14:paraId="2083338E">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23069E6D">
            <w:pPr>
              <w:pBdr/>
              <w:spacing w:after="0" w:before="0" w:line="240"/>
              <w:ind/>
              <w:jc w:val="left"/>
              <w:rPr/>
            </w:pPr>
            <w:r>
              <w:rPr>
                <w:rFonts w:ascii="Times New Roman" w:hAnsi="Times New Roman" w:eastAsia="Times New Roman" w:cs="Times New Roman"/>
                <w:color w:val="000000"/>
                <w:sz w:val="24"/>
              </w:rPr>
              <w:t xml:space="preserve">RNF-015</w:t>
            </w:r>
            <w:r/>
          </w:p>
        </w:tc>
        <w:tc>
          <w:tcPr>
            <w:tcBorders/>
            <w:tcMar>
              <w:left w:w="15" w:type="dxa"/>
              <w:top w:w="15" w:type="dxa"/>
              <w:right w:w="15" w:type="dxa"/>
              <w:bottom w:w="15" w:type="dxa"/>
            </w:tcMar>
            <w:tcW w:w="3792" w:type="dxa"/>
            <w:vAlign w:val="center"/>
          </w:tcPr>
          <w:p w14:paraId="5638C799">
            <w:pPr>
              <w:pBdr/>
              <w:spacing w:after="0" w:before="0" w:line="240"/>
              <w:ind/>
              <w:jc w:val="left"/>
              <w:rPr/>
            </w:pPr>
            <w:r>
              <w:rPr>
                <w:rFonts w:ascii="Times New Roman" w:hAnsi="Times New Roman" w:eastAsia="Times New Roman" w:cs="Times New Roman"/>
                <w:color w:val="000000"/>
                <w:sz w:val="24"/>
              </w:rPr>
              <w:t xml:space="preserve">Health checks</w:t>
            </w:r>
            <w:r/>
          </w:p>
        </w:tc>
        <w:tc>
          <w:tcPr>
            <w:tcBorders/>
            <w:tcMar>
              <w:left w:w="15" w:type="dxa"/>
              <w:top w:w="15" w:type="dxa"/>
              <w:right w:w="15" w:type="dxa"/>
              <w:bottom w:w="15" w:type="dxa"/>
            </w:tcMar>
            <w:tcW w:w="2113" w:type="dxa"/>
            <w:vAlign w:val="center"/>
          </w:tcPr>
          <w:p w14:paraId="275B365C">
            <w:pPr>
              <w:pBdr/>
              <w:spacing w:after="0" w:before="0" w:line="240"/>
              <w:ind/>
              <w:jc w:val="left"/>
              <w:rPr/>
            </w:pPr>
            <w:r>
              <w:rPr>
                <w:rFonts w:ascii="Times New Roman" w:hAnsi="Times New Roman" w:eastAsia="Times New Roman" w:cs="Times New Roman"/>
                <w:color w:val="000000"/>
                <w:sz w:val="24"/>
              </w:rPr>
              <w:t xml:space="preserve">Disponibilidad</w:t>
            </w:r>
            <w:r/>
          </w:p>
        </w:tc>
        <w:tc>
          <w:tcPr>
            <w:tcBorders/>
            <w:tcMar>
              <w:left w:w="15" w:type="dxa"/>
              <w:top w:w="15" w:type="dxa"/>
              <w:right w:w="15" w:type="dxa"/>
              <w:bottom w:w="15" w:type="dxa"/>
            </w:tcMar>
            <w:tcW w:w="1726" w:type="dxa"/>
            <w:vAlign w:val="center"/>
          </w:tcPr>
          <w:p w14:paraId="0C232D8F">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40E2F05E">
            <w:pPr>
              <w:pBdr/>
              <w:spacing w:after="0" w:before="0" w:line="240"/>
              <w:ind/>
              <w:jc w:val="left"/>
              <w:rPr/>
            </w:pPr>
            <w:r>
              <w:rPr>
                <w:rFonts w:ascii="Times New Roman" w:hAnsi="Times New Roman" w:eastAsia="Times New Roman" w:cs="Times New Roman"/>
                <w:color w:val="000000"/>
                <w:sz w:val="24"/>
              </w:rPr>
              <w:t xml:space="preserve">RNF-016</w:t>
            </w:r>
            <w:r/>
          </w:p>
        </w:tc>
        <w:tc>
          <w:tcPr>
            <w:tcBorders/>
            <w:tcMar>
              <w:left w:w="15" w:type="dxa"/>
              <w:top w:w="15" w:type="dxa"/>
              <w:right w:w="15" w:type="dxa"/>
              <w:bottom w:w="15" w:type="dxa"/>
            </w:tcMar>
            <w:tcW w:w="3792" w:type="dxa"/>
            <w:vAlign w:val="center"/>
          </w:tcPr>
          <w:p w14:paraId="7664C345">
            <w:pPr>
              <w:pBdr/>
              <w:spacing w:after="0" w:before="0" w:line="240"/>
              <w:ind/>
              <w:jc w:val="left"/>
              <w:rPr/>
            </w:pPr>
            <w:r>
              <w:rPr>
                <w:rFonts w:ascii="Times New Roman" w:hAnsi="Times New Roman" w:eastAsia="Times New Roman" w:cs="Times New Roman"/>
                <w:color w:val="000000"/>
                <w:sz w:val="24"/>
              </w:rPr>
              <w:t xml:space="preserve">Reinicio automático</w:t>
            </w:r>
            <w:r/>
          </w:p>
        </w:tc>
        <w:tc>
          <w:tcPr>
            <w:tcBorders/>
            <w:tcMar>
              <w:left w:w="15" w:type="dxa"/>
              <w:top w:w="15" w:type="dxa"/>
              <w:right w:w="15" w:type="dxa"/>
              <w:bottom w:w="15" w:type="dxa"/>
            </w:tcMar>
            <w:tcW w:w="2113" w:type="dxa"/>
            <w:vAlign w:val="center"/>
          </w:tcPr>
          <w:p w14:paraId="22B5C1F6">
            <w:pPr>
              <w:pBdr/>
              <w:spacing w:after="0" w:before="0" w:line="240"/>
              <w:ind/>
              <w:jc w:val="left"/>
              <w:rPr/>
            </w:pPr>
            <w:r>
              <w:rPr>
                <w:rFonts w:ascii="Times New Roman" w:hAnsi="Times New Roman" w:eastAsia="Times New Roman" w:cs="Times New Roman"/>
                <w:color w:val="000000"/>
                <w:sz w:val="24"/>
              </w:rPr>
              <w:t xml:space="preserve">Confiabilidad</w:t>
            </w:r>
            <w:r/>
          </w:p>
        </w:tc>
        <w:tc>
          <w:tcPr>
            <w:tcBorders/>
            <w:tcMar>
              <w:left w:w="15" w:type="dxa"/>
              <w:top w:w="15" w:type="dxa"/>
              <w:right w:w="15" w:type="dxa"/>
              <w:bottom w:w="15" w:type="dxa"/>
            </w:tcMar>
            <w:tcW w:w="1726" w:type="dxa"/>
            <w:vAlign w:val="center"/>
          </w:tcPr>
          <w:p w14:paraId="6AAAF227">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32ADE808">
            <w:pPr>
              <w:pBdr/>
              <w:spacing w:after="0" w:before="0" w:line="240"/>
              <w:ind/>
              <w:jc w:val="left"/>
              <w:rPr/>
            </w:pPr>
            <w:r>
              <w:rPr>
                <w:rFonts w:ascii="Times New Roman" w:hAnsi="Times New Roman" w:eastAsia="Times New Roman" w:cs="Times New Roman"/>
                <w:color w:val="000000"/>
                <w:sz w:val="24"/>
              </w:rPr>
              <w:t xml:space="preserve">RNF-017</w:t>
            </w:r>
            <w:r/>
          </w:p>
        </w:tc>
        <w:tc>
          <w:tcPr>
            <w:tcBorders/>
            <w:tcMar>
              <w:left w:w="15" w:type="dxa"/>
              <w:top w:w="15" w:type="dxa"/>
              <w:right w:w="15" w:type="dxa"/>
              <w:bottom w:w="15" w:type="dxa"/>
            </w:tcMar>
            <w:tcW w:w="3792" w:type="dxa"/>
            <w:vAlign w:val="center"/>
          </w:tcPr>
          <w:p w14:paraId="6DECEECB">
            <w:pPr>
              <w:pBdr/>
              <w:spacing w:after="0" w:before="0" w:line="240"/>
              <w:ind/>
              <w:jc w:val="left"/>
              <w:rPr/>
            </w:pPr>
            <w:r>
              <w:rPr>
                <w:rFonts w:ascii="Times New Roman" w:hAnsi="Times New Roman" w:eastAsia="Times New Roman" w:cs="Times New Roman"/>
                <w:color w:val="000000"/>
                <w:sz w:val="24"/>
              </w:rPr>
              <w:t xml:space="preserve">Atomicidad e idempotencia</w:t>
            </w:r>
            <w:r/>
          </w:p>
        </w:tc>
        <w:tc>
          <w:tcPr>
            <w:tcBorders/>
            <w:tcMar>
              <w:left w:w="15" w:type="dxa"/>
              <w:top w:w="15" w:type="dxa"/>
              <w:right w:w="15" w:type="dxa"/>
              <w:bottom w:w="15" w:type="dxa"/>
            </w:tcMar>
            <w:tcW w:w="2113" w:type="dxa"/>
            <w:vAlign w:val="center"/>
          </w:tcPr>
          <w:p w14:paraId="74744799">
            <w:pPr>
              <w:pBdr/>
              <w:spacing w:after="0" w:before="0" w:line="240"/>
              <w:ind/>
              <w:jc w:val="left"/>
              <w:rPr/>
            </w:pPr>
            <w:r>
              <w:rPr>
                <w:rFonts w:ascii="Times New Roman" w:hAnsi="Times New Roman" w:eastAsia="Times New Roman" w:cs="Times New Roman"/>
                <w:color w:val="000000"/>
                <w:sz w:val="24"/>
              </w:rPr>
              <w:t xml:space="preserve">Confiabilidad</w:t>
            </w:r>
            <w:r/>
          </w:p>
        </w:tc>
        <w:tc>
          <w:tcPr>
            <w:tcBorders/>
            <w:tcMar>
              <w:left w:w="15" w:type="dxa"/>
              <w:top w:w="15" w:type="dxa"/>
              <w:right w:w="15" w:type="dxa"/>
              <w:bottom w:w="15" w:type="dxa"/>
            </w:tcMar>
            <w:tcW w:w="1726" w:type="dxa"/>
            <w:vAlign w:val="center"/>
          </w:tcPr>
          <w:p w14:paraId="664087DF">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0F2E4CB9">
            <w:pPr>
              <w:pBdr/>
              <w:spacing w:after="0" w:before="0" w:line="240"/>
              <w:ind/>
              <w:jc w:val="left"/>
              <w:rPr/>
            </w:pPr>
            <w:r>
              <w:rPr>
                <w:rFonts w:ascii="Times New Roman" w:hAnsi="Times New Roman" w:eastAsia="Times New Roman" w:cs="Times New Roman"/>
                <w:color w:val="000000"/>
                <w:sz w:val="24"/>
              </w:rPr>
              <w:t xml:space="preserve">RNF-018</w:t>
            </w:r>
            <w:r/>
          </w:p>
        </w:tc>
        <w:tc>
          <w:tcPr>
            <w:tcBorders/>
            <w:tcMar>
              <w:left w:w="15" w:type="dxa"/>
              <w:top w:w="15" w:type="dxa"/>
              <w:right w:w="15" w:type="dxa"/>
              <w:bottom w:w="15" w:type="dxa"/>
            </w:tcMar>
            <w:tcW w:w="3792" w:type="dxa"/>
            <w:vAlign w:val="center"/>
          </w:tcPr>
          <w:p w14:paraId="48BC8796">
            <w:pPr>
              <w:pBdr/>
              <w:spacing w:after="0" w:before="0" w:line="240"/>
              <w:ind/>
              <w:jc w:val="left"/>
              <w:rPr/>
            </w:pPr>
            <w:r>
              <w:rPr>
                <w:rFonts w:ascii="Times New Roman" w:hAnsi="Times New Roman" w:eastAsia="Times New Roman" w:cs="Times New Roman"/>
                <w:color w:val="000000"/>
                <w:sz w:val="24"/>
              </w:rPr>
              <w:t xml:space="preserve">Arquitectura en capas</w:t>
            </w:r>
            <w:r/>
          </w:p>
        </w:tc>
        <w:tc>
          <w:tcPr>
            <w:tcBorders/>
            <w:tcMar>
              <w:left w:w="15" w:type="dxa"/>
              <w:top w:w="15" w:type="dxa"/>
              <w:right w:w="15" w:type="dxa"/>
              <w:bottom w:w="15" w:type="dxa"/>
            </w:tcMar>
            <w:tcW w:w="2113" w:type="dxa"/>
            <w:vAlign w:val="center"/>
          </w:tcPr>
          <w:p w14:paraId="125B5564">
            <w:pPr>
              <w:pBdr/>
              <w:spacing w:after="0" w:before="0" w:line="240"/>
              <w:ind/>
              <w:jc w:val="left"/>
              <w:rPr/>
            </w:pPr>
            <w:r>
              <w:rPr>
                <w:rFonts w:ascii="Times New Roman" w:hAnsi="Times New Roman" w:eastAsia="Times New Roman" w:cs="Times New Roman"/>
                <w:color w:val="000000"/>
                <w:sz w:val="24"/>
              </w:rPr>
              <w:t xml:space="preserve">Mantenibilidad</w:t>
            </w:r>
            <w:r/>
          </w:p>
        </w:tc>
        <w:tc>
          <w:tcPr>
            <w:tcBorders/>
            <w:tcMar>
              <w:left w:w="15" w:type="dxa"/>
              <w:top w:w="15" w:type="dxa"/>
              <w:right w:w="15" w:type="dxa"/>
              <w:bottom w:w="15" w:type="dxa"/>
            </w:tcMar>
            <w:tcW w:w="1726" w:type="dxa"/>
            <w:vAlign w:val="center"/>
          </w:tcPr>
          <w:p w14:paraId="26F9947D">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448137FE">
            <w:pPr>
              <w:pBdr/>
              <w:spacing w:after="0" w:before="0" w:line="240"/>
              <w:ind/>
              <w:jc w:val="left"/>
              <w:rPr/>
            </w:pPr>
            <w:r>
              <w:rPr>
                <w:rFonts w:ascii="Times New Roman" w:hAnsi="Times New Roman" w:eastAsia="Times New Roman" w:cs="Times New Roman"/>
                <w:color w:val="000000"/>
                <w:sz w:val="24"/>
              </w:rPr>
              <w:t xml:space="preserve">RNF-019</w:t>
            </w:r>
            <w:r/>
          </w:p>
        </w:tc>
        <w:tc>
          <w:tcPr>
            <w:tcBorders/>
            <w:tcMar>
              <w:left w:w="15" w:type="dxa"/>
              <w:top w:w="15" w:type="dxa"/>
              <w:right w:w="15" w:type="dxa"/>
              <w:bottom w:w="15" w:type="dxa"/>
            </w:tcMar>
            <w:tcW w:w="3792" w:type="dxa"/>
            <w:vAlign w:val="center"/>
          </w:tcPr>
          <w:p w14:paraId="02B81FD2">
            <w:pPr>
              <w:pBdr/>
              <w:spacing w:after="0" w:before="0" w:line="240"/>
              <w:ind/>
              <w:jc w:val="left"/>
              <w:rPr/>
            </w:pPr>
            <w:r>
              <w:rPr>
                <w:rFonts w:ascii="Times New Roman" w:hAnsi="Times New Roman" w:eastAsia="Times New Roman" w:cs="Times New Roman"/>
                <w:color w:val="000000"/>
                <w:sz w:val="24"/>
              </w:rPr>
              <w:t xml:space="preserve">Migraciones de BD</w:t>
            </w:r>
            <w:r/>
          </w:p>
        </w:tc>
        <w:tc>
          <w:tcPr>
            <w:tcBorders/>
            <w:tcMar>
              <w:left w:w="15" w:type="dxa"/>
              <w:top w:w="15" w:type="dxa"/>
              <w:right w:w="15" w:type="dxa"/>
              <w:bottom w:w="15" w:type="dxa"/>
            </w:tcMar>
            <w:tcW w:w="2113" w:type="dxa"/>
            <w:vAlign w:val="center"/>
          </w:tcPr>
          <w:p w14:paraId="5598AC52">
            <w:pPr>
              <w:pBdr/>
              <w:spacing w:after="0" w:before="0" w:line="240"/>
              <w:ind/>
              <w:jc w:val="left"/>
              <w:rPr/>
            </w:pPr>
            <w:r>
              <w:rPr>
                <w:rFonts w:ascii="Times New Roman" w:hAnsi="Times New Roman" w:eastAsia="Times New Roman" w:cs="Times New Roman"/>
                <w:color w:val="000000"/>
                <w:sz w:val="24"/>
              </w:rPr>
              <w:t xml:space="preserve">Mantenibilidad</w:t>
            </w:r>
            <w:r/>
          </w:p>
        </w:tc>
        <w:tc>
          <w:tcPr>
            <w:tcBorders/>
            <w:tcMar>
              <w:left w:w="15" w:type="dxa"/>
              <w:top w:w="15" w:type="dxa"/>
              <w:right w:w="15" w:type="dxa"/>
              <w:bottom w:w="15" w:type="dxa"/>
            </w:tcMar>
            <w:tcW w:w="1726" w:type="dxa"/>
            <w:vAlign w:val="center"/>
          </w:tcPr>
          <w:p w14:paraId="3471F808">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12653867">
            <w:pPr>
              <w:pBdr/>
              <w:spacing w:after="0" w:before="0" w:line="240"/>
              <w:ind/>
              <w:jc w:val="left"/>
              <w:rPr/>
            </w:pPr>
            <w:r>
              <w:rPr>
                <w:rFonts w:ascii="Times New Roman" w:hAnsi="Times New Roman" w:eastAsia="Times New Roman" w:cs="Times New Roman"/>
                <w:color w:val="000000"/>
                <w:sz w:val="24"/>
              </w:rPr>
              <w:t xml:space="preserve">RNF-020</w:t>
            </w:r>
            <w:r/>
          </w:p>
        </w:tc>
        <w:tc>
          <w:tcPr>
            <w:tcBorders/>
            <w:tcMar>
              <w:left w:w="15" w:type="dxa"/>
              <w:top w:w="15" w:type="dxa"/>
              <w:right w:w="15" w:type="dxa"/>
              <w:bottom w:w="15" w:type="dxa"/>
            </w:tcMar>
            <w:tcW w:w="3792" w:type="dxa"/>
            <w:vAlign w:val="center"/>
          </w:tcPr>
          <w:p w14:paraId="200A3A5C">
            <w:pPr>
              <w:pBdr/>
              <w:spacing w:after="0" w:before="0" w:line="240"/>
              <w:ind/>
              <w:jc w:val="left"/>
              <w:rPr/>
            </w:pPr>
            <w:r>
              <w:rPr>
                <w:rFonts w:ascii="Times New Roman" w:hAnsi="Times New Roman" w:eastAsia="Times New Roman" w:cs="Times New Roman"/>
                <w:color w:val="000000"/>
                <w:sz w:val="24"/>
              </w:rPr>
              <w:t xml:space="preserve">Auditoría de dependencias</w:t>
            </w:r>
            <w:r/>
          </w:p>
        </w:tc>
        <w:tc>
          <w:tcPr>
            <w:tcBorders/>
            <w:tcMar>
              <w:left w:w="15" w:type="dxa"/>
              <w:top w:w="15" w:type="dxa"/>
              <w:right w:w="15" w:type="dxa"/>
              <w:bottom w:w="15" w:type="dxa"/>
            </w:tcMar>
            <w:tcW w:w="2113" w:type="dxa"/>
            <w:vAlign w:val="center"/>
          </w:tcPr>
          <w:p w14:paraId="2C586B1B">
            <w:pPr>
              <w:pBdr/>
              <w:spacing w:after="0" w:before="0" w:line="240"/>
              <w:ind/>
              <w:jc w:val="left"/>
              <w:rPr/>
            </w:pPr>
            <w:r>
              <w:rPr>
                <w:rFonts w:ascii="Times New Roman" w:hAnsi="Times New Roman" w:eastAsia="Times New Roman" w:cs="Times New Roman"/>
                <w:color w:val="000000"/>
                <w:sz w:val="24"/>
              </w:rPr>
              <w:t xml:space="preserve">Mantenibilidad</w:t>
            </w:r>
            <w:r/>
          </w:p>
        </w:tc>
        <w:tc>
          <w:tcPr>
            <w:tcBorders/>
            <w:tcMar>
              <w:left w:w="15" w:type="dxa"/>
              <w:top w:w="15" w:type="dxa"/>
              <w:right w:w="15" w:type="dxa"/>
              <w:bottom w:w="15" w:type="dxa"/>
            </w:tcMar>
            <w:tcW w:w="1726" w:type="dxa"/>
            <w:vAlign w:val="center"/>
          </w:tcPr>
          <w:p w14:paraId="750E69D1">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7866395A">
            <w:pPr>
              <w:pBdr/>
              <w:spacing w:after="0" w:before="0" w:line="240"/>
              <w:ind/>
              <w:jc w:val="left"/>
              <w:rPr/>
            </w:pPr>
            <w:r>
              <w:rPr>
                <w:rFonts w:ascii="Times New Roman" w:hAnsi="Times New Roman" w:eastAsia="Times New Roman" w:cs="Times New Roman"/>
                <w:color w:val="000000"/>
                <w:sz w:val="24"/>
              </w:rPr>
              <w:t xml:space="preserve">RNF-021</w:t>
            </w:r>
            <w:r/>
          </w:p>
        </w:tc>
        <w:tc>
          <w:tcPr>
            <w:tcBorders/>
            <w:tcMar>
              <w:left w:w="15" w:type="dxa"/>
              <w:top w:w="15" w:type="dxa"/>
              <w:right w:w="15" w:type="dxa"/>
              <w:bottom w:w="15" w:type="dxa"/>
            </w:tcMar>
            <w:tcW w:w="3792" w:type="dxa"/>
            <w:vAlign w:val="center"/>
          </w:tcPr>
          <w:p w14:paraId="41C64CEE">
            <w:pPr>
              <w:pBdr/>
              <w:spacing w:after="0" w:before="0" w:line="240"/>
              <w:ind/>
              <w:jc w:val="left"/>
              <w:rPr/>
            </w:pPr>
            <w:r>
              <w:rPr>
                <w:rFonts w:ascii="Times New Roman" w:hAnsi="Times New Roman" w:eastAsia="Times New Roman" w:cs="Times New Roman"/>
                <w:color w:val="000000"/>
                <w:sz w:val="24"/>
              </w:rPr>
              <w:t xml:space="preserve">Servicios desacoplados</w:t>
            </w:r>
            <w:r/>
          </w:p>
        </w:tc>
        <w:tc>
          <w:tcPr>
            <w:tcBorders/>
            <w:tcMar>
              <w:left w:w="15" w:type="dxa"/>
              <w:top w:w="15" w:type="dxa"/>
              <w:right w:w="15" w:type="dxa"/>
              <w:bottom w:w="15" w:type="dxa"/>
            </w:tcMar>
            <w:tcW w:w="2113" w:type="dxa"/>
            <w:vAlign w:val="center"/>
          </w:tcPr>
          <w:p w14:paraId="2938B3F3">
            <w:pPr>
              <w:pBdr/>
              <w:spacing w:after="0" w:before="0" w:line="240"/>
              <w:ind/>
              <w:jc w:val="left"/>
              <w:rPr/>
            </w:pPr>
            <w:r>
              <w:rPr>
                <w:rFonts w:ascii="Times New Roman" w:hAnsi="Times New Roman" w:eastAsia="Times New Roman" w:cs="Times New Roman"/>
                <w:color w:val="000000"/>
                <w:sz w:val="24"/>
              </w:rPr>
              <w:t xml:space="preserve">Escalabilidad</w:t>
            </w:r>
            <w:r/>
          </w:p>
        </w:tc>
        <w:tc>
          <w:tcPr>
            <w:tcBorders/>
            <w:tcMar>
              <w:left w:w="15" w:type="dxa"/>
              <w:top w:w="15" w:type="dxa"/>
              <w:right w:w="15" w:type="dxa"/>
              <w:bottom w:w="15" w:type="dxa"/>
            </w:tcMar>
            <w:tcW w:w="1726" w:type="dxa"/>
            <w:vAlign w:val="center"/>
          </w:tcPr>
          <w:p w14:paraId="442DF56D">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7D7974DD">
            <w:pPr>
              <w:pBdr/>
              <w:spacing w:after="0" w:before="0" w:line="240"/>
              <w:ind/>
              <w:jc w:val="left"/>
              <w:rPr/>
            </w:pPr>
            <w:r>
              <w:rPr>
                <w:rFonts w:ascii="Times New Roman" w:hAnsi="Times New Roman" w:eastAsia="Times New Roman" w:cs="Times New Roman"/>
                <w:color w:val="000000"/>
                <w:sz w:val="24"/>
              </w:rPr>
              <w:t xml:space="preserve">RNF-022</w:t>
            </w:r>
            <w:r/>
          </w:p>
        </w:tc>
        <w:tc>
          <w:tcPr>
            <w:tcBorders/>
            <w:tcMar>
              <w:left w:w="15" w:type="dxa"/>
              <w:top w:w="15" w:type="dxa"/>
              <w:right w:w="15" w:type="dxa"/>
              <w:bottom w:w="15" w:type="dxa"/>
            </w:tcMar>
            <w:tcW w:w="3792" w:type="dxa"/>
            <w:vAlign w:val="center"/>
          </w:tcPr>
          <w:p w14:paraId="6EB8E098">
            <w:pPr>
              <w:pBdr/>
              <w:spacing w:after="0" w:before="0" w:line="240"/>
              <w:ind/>
              <w:jc w:val="left"/>
              <w:rPr/>
            </w:pPr>
            <w:r>
              <w:rPr>
                <w:rFonts w:ascii="Times New Roman" w:hAnsi="Times New Roman" w:eastAsia="Times New Roman" w:cs="Times New Roman"/>
                <w:color w:val="000000"/>
                <w:sz w:val="24"/>
              </w:rPr>
              <w:t xml:space="preserve">Almacenamiento independiente</w:t>
            </w:r>
            <w:r/>
          </w:p>
        </w:tc>
        <w:tc>
          <w:tcPr>
            <w:tcBorders/>
            <w:tcMar>
              <w:left w:w="15" w:type="dxa"/>
              <w:top w:w="15" w:type="dxa"/>
              <w:right w:w="15" w:type="dxa"/>
              <w:bottom w:w="15" w:type="dxa"/>
            </w:tcMar>
            <w:tcW w:w="2113" w:type="dxa"/>
            <w:vAlign w:val="center"/>
          </w:tcPr>
          <w:p w14:paraId="19415735">
            <w:pPr>
              <w:pBdr/>
              <w:spacing w:after="0" w:before="0" w:line="240"/>
              <w:ind/>
              <w:jc w:val="left"/>
              <w:rPr/>
            </w:pPr>
            <w:r>
              <w:rPr>
                <w:rFonts w:ascii="Times New Roman" w:hAnsi="Times New Roman" w:eastAsia="Times New Roman" w:cs="Times New Roman"/>
                <w:color w:val="000000"/>
                <w:sz w:val="24"/>
              </w:rPr>
              <w:t xml:space="preserve">Portabilidad</w:t>
            </w:r>
            <w:r/>
          </w:p>
        </w:tc>
        <w:tc>
          <w:tcPr>
            <w:tcBorders/>
            <w:tcMar>
              <w:left w:w="15" w:type="dxa"/>
              <w:top w:w="15" w:type="dxa"/>
              <w:right w:w="15" w:type="dxa"/>
              <w:bottom w:w="15" w:type="dxa"/>
            </w:tcMar>
            <w:tcW w:w="1726" w:type="dxa"/>
            <w:vAlign w:val="center"/>
          </w:tcPr>
          <w:p w14:paraId="24932886">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24D51955">
            <w:pPr>
              <w:pBdr/>
              <w:spacing w:after="0" w:before="0" w:line="240"/>
              <w:ind/>
              <w:jc w:val="left"/>
              <w:rPr/>
            </w:pPr>
            <w:r>
              <w:rPr>
                <w:rFonts w:ascii="Times New Roman" w:hAnsi="Times New Roman" w:eastAsia="Times New Roman" w:cs="Times New Roman"/>
                <w:color w:val="000000"/>
                <w:sz w:val="24"/>
              </w:rPr>
              <w:t xml:space="preserve">RNF-023</w:t>
            </w:r>
            <w:r/>
          </w:p>
        </w:tc>
        <w:tc>
          <w:tcPr>
            <w:tcBorders/>
            <w:tcMar>
              <w:left w:w="15" w:type="dxa"/>
              <w:top w:w="15" w:type="dxa"/>
              <w:right w:w="15" w:type="dxa"/>
              <w:bottom w:w="15" w:type="dxa"/>
            </w:tcMar>
            <w:tcW w:w="3792" w:type="dxa"/>
            <w:vAlign w:val="center"/>
          </w:tcPr>
          <w:p w14:paraId="0513226A">
            <w:pPr>
              <w:pBdr/>
              <w:spacing w:after="0" w:before="0" w:line="240"/>
              <w:ind/>
              <w:jc w:val="left"/>
              <w:rPr/>
            </w:pPr>
            <w:r>
              <w:rPr>
                <w:rFonts w:ascii="Times New Roman" w:hAnsi="Times New Roman" w:eastAsia="Times New Roman" w:cs="Times New Roman"/>
                <w:color w:val="000000"/>
                <w:sz w:val="24"/>
              </w:rPr>
              <w:t xml:space="preserve">Configuración por entorno</w:t>
            </w:r>
            <w:r/>
          </w:p>
        </w:tc>
        <w:tc>
          <w:tcPr>
            <w:tcBorders/>
            <w:tcMar>
              <w:left w:w="15" w:type="dxa"/>
              <w:top w:w="15" w:type="dxa"/>
              <w:right w:w="15" w:type="dxa"/>
              <w:bottom w:w="15" w:type="dxa"/>
            </w:tcMar>
            <w:tcW w:w="2113" w:type="dxa"/>
            <w:vAlign w:val="center"/>
          </w:tcPr>
          <w:p w14:paraId="6AD6F4CA">
            <w:pPr>
              <w:pBdr/>
              <w:spacing w:after="0" w:before="0" w:line="240"/>
              <w:ind/>
              <w:jc w:val="left"/>
              <w:rPr/>
            </w:pPr>
            <w:r>
              <w:rPr>
                <w:rFonts w:ascii="Times New Roman" w:hAnsi="Times New Roman" w:eastAsia="Times New Roman" w:cs="Times New Roman"/>
                <w:color w:val="000000"/>
                <w:sz w:val="24"/>
              </w:rPr>
              <w:t xml:space="preserve">Portabilidad</w:t>
            </w:r>
            <w:r/>
          </w:p>
        </w:tc>
        <w:tc>
          <w:tcPr>
            <w:tcBorders/>
            <w:tcMar>
              <w:left w:w="15" w:type="dxa"/>
              <w:top w:w="15" w:type="dxa"/>
              <w:right w:w="15" w:type="dxa"/>
              <w:bottom w:w="15" w:type="dxa"/>
            </w:tcMar>
            <w:tcW w:w="1726" w:type="dxa"/>
            <w:vAlign w:val="center"/>
          </w:tcPr>
          <w:p w14:paraId="36F0AE7C">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49BDB475">
            <w:pPr>
              <w:pBdr/>
              <w:spacing w:after="0" w:before="0" w:line="240"/>
              <w:ind/>
              <w:jc w:val="left"/>
              <w:rPr/>
            </w:pPr>
            <w:r>
              <w:rPr>
                <w:rFonts w:ascii="Times New Roman" w:hAnsi="Times New Roman" w:eastAsia="Times New Roman" w:cs="Times New Roman"/>
                <w:color w:val="000000"/>
                <w:sz w:val="24"/>
              </w:rPr>
              <w:t xml:space="preserve">RNF-024</w:t>
            </w:r>
            <w:r/>
          </w:p>
        </w:tc>
        <w:tc>
          <w:tcPr>
            <w:tcBorders/>
            <w:tcMar>
              <w:left w:w="15" w:type="dxa"/>
              <w:top w:w="15" w:type="dxa"/>
              <w:right w:w="15" w:type="dxa"/>
              <w:bottom w:w="15" w:type="dxa"/>
            </w:tcMar>
            <w:tcW w:w="3792" w:type="dxa"/>
            <w:vAlign w:val="center"/>
          </w:tcPr>
          <w:p w14:paraId="1E3EFFB1">
            <w:pPr>
              <w:pBdr/>
              <w:spacing w:after="0" w:before="0" w:line="240"/>
              <w:ind/>
              <w:jc w:val="left"/>
              <w:rPr/>
            </w:pPr>
            <w:r>
              <w:rPr>
                <w:rFonts w:ascii="Times New Roman" w:hAnsi="Times New Roman" w:eastAsia="Times New Roman" w:cs="Times New Roman"/>
                <w:color w:val="000000"/>
                <w:sz w:val="24"/>
              </w:rPr>
              <w:t xml:space="preserve">Compilación frontend</w:t>
            </w:r>
            <w:r/>
          </w:p>
        </w:tc>
        <w:tc>
          <w:tcPr>
            <w:tcBorders/>
            <w:tcMar>
              <w:left w:w="15" w:type="dxa"/>
              <w:top w:w="15" w:type="dxa"/>
              <w:right w:w="15" w:type="dxa"/>
              <w:bottom w:w="15" w:type="dxa"/>
            </w:tcMar>
            <w:tcW w:w="2113" w:type="dxa"/>
            <w:vAlign w:val="center"/>
          </w:tcPr>
          <w:p w14:paraId="4A686CA6">
            <w:pPr>
              <w:pBdr/>
              <w:spacing w:after="0" w:before="0" w:line="240"/>
              <w:ind/>
              <w:jc w:val="left"/>
              <w:rPr/>
            </w:pPr>
            <w:r>
              <w:rPr>
                <w:rFonts w:ascii="Times New Roman" w:hAnsi="Times New Roman" w:eastAsia="Times New Roman" w:cs="Times New Roman"/>
                <w:color w:val="000000"/>
                <w:sz w:val="24"/>
              </w:rPr>
              <w:t xml:space="preserve">Compatibilidad web</w:t>
            </w:r>
            <w:r/>
          </w:p>
        </w:tc>
        <w:tc>
          <w:tcPr>
            <w:tcBorders/>
            <w:tcMar>
              <w:left w:w="15" w:type="dxa"/>
              <w:top w:w="15" w:type="dxa"/>
              <w:right w:w="15" w:type="dxa"/>
              <w:bottom w:w="15" w:type="dxa"/>
            </w:tcMar>
            <w:tcW w:w="1726" w:type="dxa"/>
            <w:vAlign w:val="center"/>
          </w:tcPr>
          <w:p w14:paraId="45A8C08F">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7D9EB590">
            <w:pPr>
              <w:pBdr/>
              <w:spacing w:after="0" w:before="0" w:line="240"/>
              <w:ind/>
              <w:jc w:val="left"/>
              <w:rPr/>
            </w:pPr>
            <w:r>
              <w:rPr>
                <w:rFonts w:ascii="Times New Roman" w:hAnsi="Times New Roman" w:eastAsia="Times New Roman" w:cs="Times New Roman"/>
                <w:color w:val="000000"/>
                <w:sz w:val="24"/>
              </w:rPr>
              <w:t xml:space="preserve">RNF-025</w:t>
            </w:r>
            <w:r/>
          </w:p>
        </w:tc>
        <w:tc>
          <w:tcPr>
            <w:tcBorders/>
            <w:tcMar>
              <w:left w:w="15" w:type="dxa"/>
              <w:top w:w="15" w:type="dxa"/>
              <w:right w:w="15" w:type="dxa"/>
              <w:bottom w:w="15" w:type="dxa"/>
            </w:tcMar>
            <w:tcW w:w="3792" w:type="dxa"/>
            <w:vAlign w:val="center"/>
          </w:tcPr>
          <w:p w14:paraId="5FC5C14C">
            <w:pPr>
              <w:pBdr/>
              <w:spacing w:after="0" w:before="0" w:line="240"/>
              <w:ind/>
              <w:jc w:val="left"/>
              <w:rPr/>
            </w:pPr>
            <w:r>
              <w:rPr>
                <w:rFonts w:ascii="Times New Roman" w:hAnsi="Times New Roman" w:eastAsia="Times New Roman" w:cs="Times New Roman"/>
                <w:color w:val="000000"/>
                <w:sz w:val="24"/>
              </w:rPr>
              <w:t xml:space="preserve">Diseño responsive web</w:t>
            </w:r>
            <w:r/>
          </w:p>
        </w:tc>
        <w:tc>
          <w:tcPr>
            <w:tcBorders/>
            <w:tcMar>
              <w:left w:w="15" w:type="dxa"/>
              <w:top w:w="15" w:type="dxa"/>
              <w:right w:w="15" w:type="dxa"/>
              <w:bottom w:w="15" w:type="dxa"/>
            </w:tcMar>
            <w:tcW w:w="2113" w:type="dxa"/>
            <w:vAlign w:val="center"/>
          </w:tcPr>
          <w:p w14:paraId="4C2D9637">
            <w:pPr>
              <w:pBdr/>
              <w:spacing w:after="0" w:before="0" w:line="240"/>
              <w:ind/>
              <w:jc w:val="left"/>
              <w:rPr/>
            </w:pPr>
            <w:r>
              <w:rPr>
                <w:rFonts w:ascii="Times New Roman" w:hAnsi="Times New Roman" w:eastAsia="Times New Roman" w:cs="Times New Roman"/>
                <w:color w:val="000000"/>
                <w:sz w:val="24"/>
              </w:rPr>
              <w:t xml:space="preserve">Compatibilidad web</w:t>
            </w:r>
            <w:r/>
          </w:p>
        </w:tc>
        <w:tc>
          <w:tcPr>
            <w:tcBorders/>
            <w:tcMar>
              <w:left w:w="15" w:type="dxa"/>
              <w:top w:w="15" w:type="dxa"/>
              <w:right w:w="15" w:type="dxa"/>
              <w:bottom w:w="15" w:type="dxa"/>
            </w:tcMar>
            <w:tcW w:w="1726" w:type="dxa"/>
            <w:vAlign w:val="center"/>
          </w:tcPr>
          <w:p w14:paraId="0241E246">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7FCE30D5">
            <w:pPr>
              <w:pBdr/>
              <w:spacing w:after="0" w:before="0" w:line="240"/>
              <w:ind/>
              <w:jc w:val="left"/>
              <w:rPr/>
            </w:pPr>
            <w:r>
              <w:rPr>
                <w:rFonts w:ascii="Times New Roman" w:hAnsi="Times New Roman" w:eastAsia="Times New Roman" w:cs="Times New Roman"/>
                <w:color w:val="000000"/>
                <w:sz w:val="24"/>
              </w:rPr>
              <w:t xml:space="preserve">RNF-026</w:t>
            </w:r>
            <w:r/>
          </w:p>
        </w:tc>
        <w:tc>
          <w:tcPr>
            <w:tcBorders/>
            <w:tcMar>
              <w:left w:w="15" w:type="dxa"/>
              <w:top w:w="15" w:type="dxa"/>
              <w:right w:w="15" w:type="dxa"/>
              <w:bottom w:w="15" w:type="dxa"/>
            </w:tcMar>
            <w:tcW w:w="3792" w:type="dxa"/>
            <w:vAlign w:val="center"/>
          </w:tcPr>
          <w:p w14:paraId="75513038">
            <w:pPr>
              <w:pBdr/>
              <w:spacing w:after="0" w:before="0" w:line="240"/>
              <w:ind/>
              <w:jc w:val="left"/>
              <w:rPr/>
            </w:pPr>
            <w:r>
              <w:rPr>
                <w:rFonts w:ascii="Times New Roman" w:hAnsi="Times New Roman" w:eastAsia="Times New Roman" w:cs="Times New Roman"/>
                <w:color w:val="000000"/>
                <w:sz w:val="24"/>
              </w:rPr>
              <w:t xml:space="preserve">Despliegue con Docker Compose</w:t>
            </w:r>
            <w:r/>
          </w:p>
        </w:tc>
        <w:tc>
          <w:tcPr>
            <w:tcBorders/>
            <w:tcMar>
              <w:left w:w="15" w:type="dxa"/>
              <w:top w:w="15" w:type="dxa"/>
              <w:right w:w="15" w:type="dxa"/>
              <w:bottom w:w="15" w:type="dxa"/>
            </w:tcMar>
            <w:tcW w:w="2113" w:type="dxa"/>
            <w:vAlign w:val="center"/>
          </w:tcPr>
          <w:p w14:paraId="537864B1">
            <w:pPr>
              <w:pBdr/>
              <w:spacing w:after="0" w:before="0" w:line="240"/>
              <w:ind/>
              <w:jc w:val="left"/>
              <w:rPr/>
            </w:pPr>
            <w:r>
              <w:rPr>
                <w:rFonts w:ascii="Times New Roman" w:hAnsi="Times New Roman" w:eastAsia="Times New Roman" w:cs="Times New Roman"/>
                <w:color w:val="000000"/>
                <w:sz w:val="24"/>
              </w:rPr>
              <w:t xml:space="preserve">Despliegue</w:t>
            </w:r>
            <w:r/>
          </w:p>
        </w:tc>
        <w:tc>
          <w:tcPr>
            <w:tcBorders/>
            <w:tcMar>
              <w:left w:w="15" w:type="dxa"/>
              <w:top w:w="15" w:type="dxa"/>
              <w:right w:w="15" w:type="dxa"/>
              <w:bottom w:w="15" w:type="dxa"/>
            </w:tcMar>
            <w:tcW w:w="1726" w:type="dxa"/>
            <w:vAlign w:val="center"/>
          </w:tcPr>
          <w:p w14:paraId="1479CAB9">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17C3E4B7">
            <w:pPr>
              <w:pBdr/>
              <w:spacing w:after="0" w:before="0" w:line="240"/>
              <w:ind/>
              <w:jc w:val="left"/>
              <w:rPr/>
            </w:pPr>
            <w:r>
              <w:rPr>
                <w:rFonts w:ascii="Times New Roman" w:hAnsi="Times New Roman" w:eastAsia="Times New Roman" w:cs="Times New Roman"/>
                <w:color w:val="000000"/>
                <w:sz w:val="24"/>
              </w:rPr>
              <w:t xml:space="preserve">RNF-027</w:t>
            </w:r>
            <w:r/>
          </w:p>
        </w:tc>
        <w:tc>
          <w:tcPr>
            <w:tcBorders/>
            <w:tcMar>
              <w:left w:w="15" w:type="dxa"/>
              <w:top w:w="15" w:type="dxa"/>
              <w:right w:w="15" w:type="dxa"/>
              <w:bottom w:w="15" w:type="dxa"/>
            </w:tcMar>
            <w:tcW w:w="3792" w:type="dxa"/>
            <w:vAlign w:val="center"/>
          </w:tcPr>
          <w:p w14:paraId="3D524541">
            <w:pPr>
              <w:pBdr/>
              <w:spacing w:after="0" w:before="0" w:line="240"/>
              <w:ind/>
              <w:jc w:val="left"/>
              <w:rPr/>
            </w:pPr>
            <w:r>
              <w:rPr>
                <w:rFonts w:ascii="Times New Roman" w:hAnsi="Times New Roman" w:eastAsia="Times New Roman" w:cs="Times New Roman"/>
                <w:color w:val="000000"/>
                <w:sz w:val="24"/>
              </w:rPr>
              <w:t xml:space="preserve">Verificación estática backend</w:t>
            </w:r>
            <w:r/>
          </w:p>
        </w:tc>
        <w:tc>
          <w:tcPr>
            <w:tcBorders/>
            <w:tcMar>
              <w:left w:w="15" w:type="dxa"/>
              <w:top w:w="15" w:type="dxa"/>
              <w:right w:w="15" w:type="dxa"/>
              <w:bottom w:w="15" w:type="dxa"/>
            </w:tcMar>
            <w:tcW w:w="2113" w:type="dxa"/>
            <w:vAlign w:val="center"/>
          </w:tcPr>
          <w:p w14:paraId="3D176546">
            <w:pPr>
              <w:pBdr/>
              <w:spacing w:after="0" w:before="0" w:line="240"/>
              <w:ind/>
              <w:jc w:val="left"/>
              <w:rPr/>
            </w:pPr>
            <w:r>
              <w:rPr>
                <w:rFonts w:ascii="Times New Roman" w:hAnsi="Times New Roman" w:eastAsia="Times New Roman" w:cs="Times New Roman"/>
                <w:color w:val="000000"/>
                <w:sz w:val="24"/>
              </w:rPr>
              <w:t xml:space="preserve">Calidad</w:t>
            </w:r>
            <w:r/>
          </w:p>
        </w:tc>
        <w:tc>
          <w:tcPr>
            <w:tcBorders/>
            <w:tcMar>
              <w:left w:w="15" w:type="dxa"/>
              <w:top w:w="15" w:type="dxa"/>
              <w:right w:w="15" w:type="dxa"/>
              <w:bottom w:w="15" w:type="dxa"/>
            </w:tcMar>
            <w:tcW w:w="1726" w:type="dxa"/>
            <w:vAlign w:val="center"/>
          </w:tcPr>
          <w:p w14:paraId="0F84B3CC">
            <w:pPr>
              <w:pBdr/>
              <w:spacing w:after="0" w:before="0" w:line="240"/>
              <w:ind/>
              <w:jc w:val="left"/>
              <w:rPr/>
            </w:pPr>
            <w:r>
              <w:rPr>
                <w:rFonts w:ascii="Times New Roman" w:hAnsi="Times New Roman" w:eastAsia="Times New Roman" w:cs="Times New Roman"/>
                <w:color w:val="000000"/>
                <w:sz w:val="24"/>
              </w:rPr>
              <w:t xml:space="preserve">Parcial</w:t>
            </w:r>
            <w:r/>
          </w:p>
        </w:tc>
      </w:tr>
      <w:tr>
        <w:trPr/>
        <w:tc>
          <w:tcPr>
            <w:tcBorders/>
            <w:tcMar>
              <w:left w:w="15" w:type="dxa"/>
              <w:top w:w="15" w:type="dxa"/>
              <w:right w:w="15" w:type="dxa"/>
              <w:bottom w:w="15" w:type="dxa"/>
            </w:tcMar>
            <w:tcW w:w="907" w:type="dxa"/>
            <w:vAlign w:val="center"/>
          </w:tcPr>
          <w:p w14:paraId="56ECB077">
            <w:pPr>
              <w:pBdr/>
              <w:spacing w:after="0" w:before="0" w:line="240"/>
              <w:ind/>
              <w:jc w:val="left"/>
              <w:rPr/>
            </w:pPr>
            <w:r>
              <w:rPr>
                <w:rFonts w:ascii="Times New Roman" w:hAnsi="Times New Roman" w:eastAsia="Times New Roman" w:cs="Times New Roman"/>
                <w:color w:val="000000"/>
                <w:sz w:val="24"/>
              </w:rPr>
              <w:t xml:space="preserve">RNF-028</w:t>
            </w:r>
            <w:r/>
          </w:p>
        </w:tc>
        <w:tc>
          <w:tcPr>
            <w:tcBorders/>
            <w:tcMar>
              <w:left w:w="15" w:type="dxa"/>
              <w:top w:w="15" w:type="dxa"/>
              <w:right w:w="15" w:type="dxa"/>
              <w:bottom w:w="15" w:type="dxa"/>
            </w:tcMar>
            <w:tcW w:w="3792" w:type="dxa"/>
            <w:vAlign w:val="center"/>
          </w:tcPr>
          <w:p w14:paraId="6514EDAB">
            <w:pPr>
              <w:pBdr/>
              <w:spacing w:after="0" w:before="0" w:line="240"/>
              <w:ind/>
              <w:jc w:val="left"/>
              <w:rPr/>
            </w:pPr>
            <w:r>
              <w:rPr>
                <w:rFonts w:ascii="Times New Roman" w:hAnsi="Times New Roman" w:eastAsia="Times New Roman" w:cs="Times New Roman"/>
                <w:color w:val="000000"/>
                <w:sz w:val="24"/>
              </w:rPr>
              <w:t xml:space="preserve">Pruebas automatizadas</w:t>
            </w:r>
            <w:r/>
          </w:p>
        </w:tc>
        <w:tc>
          <w:tcPr>
            <w:tcBorders/>
            <w:tcMar>
              <w:left w:w="15" w:type="dxa"/>
              <w:top w:w="15" w:type="dxa"/>
              <w:right w:w="15" w:type="dxa"/>
              <w:bottom w:w="15" w:type="dxa"/>
            </w:tcMar>
            <w:tcW w:w="2113" w:type="dxa"/>
            <w:vAlign w:val="center"/>
          </w:tcPr>
          <w:p w14:paraId="4A5AF69C">
            <w:pPr>
              <w:pBdr/>
              <w:spacing w:after="0" w:before="0" w:line="240"/>
              <w:ind/>
              <w:jc w:val="left"/>
              <w:rPr/>
            </w:pPr>
            <w:r>
              <w:rPr>
                <w:rFonts w:ascii="Times New Roman" w:hAnsi="Times New Roman" w:eastAsia="Times New Roman" w:cs="Times New Roman"/>
                <w:color w:val="000000"/>
                <w:sz w:val="24"/>
              </w:rPr>
              <w:t xml:space="preserve">Calidad</w:t>
            </w:r>
            <w:r/>
          </w:p>
        </w:tc>
        <w:tc>
          <w:tcPr>
            <w:tcBorders/>
            <w:tcMar>
              <w:left w:w="15" w:type="dxa"/>
              <w:top w:w="15" w:type="dxa"/>
              <w:right w:w="15" w:type="dxa"/>
              <w:bottom w:w="15" w:type="dxa"/>
            </w:tcMar>
            <w:tcW w:w="1726" w:type="dxa"/>
            <w:vAlign w:val="center"/>
          </w:tcPr>
          <w:p w14:paraId="618898F1">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39BD1FE9">
            <w:pPr>
              <w:pBdr/>
              <w:spacing w:after="0" w:before="0" w:line="240"/>
              <w:ind/>
              <w:jc w:val="left"/>
              <w:rPr/>
            </w:pPr>
            <w:r>
              <w:rPr>
                <w:rFonts w:ascii="Times New Roman" w:hAnsi="Times New Roman" w:eastAsia="Times New Roman" w:cs="Times New Roman"/>
                <w:color w:val="000000"/>
                <w:sz w:val="24"/>
              </w:rPr>
              <w:t xml:space="preserve">RNF-029</w:t>
            </w:r>
            <w:r/>
          </w:p>
        </w:tc>
        <w:tc>
          <w:tcPr>
            <w:tcBorders/>
            <w:tcMar>
              <w:left w:w="15" w:type="dxa"/>
              <w:top w:w="15" w:type="dxa"/>
              <w:right w:w="15" w:type="dxa"/>
              <w:bottom w:w="15" w:type="dxa"/>
            </w:tcMar>
            <w:tcW w:w="3792" w:type="dxa"/>
            <w:vAlign w:val="center"/>
          </w:tcPr>
          <w:p w14:paraId="17EEB4D8">
            <w:pPr>
              <w:pBdr/>
              <w:spacing w:after="0" w:before="0" w:line="240"/>
              <w:ind/>
              <w:jc w:val="left"/>
              <w:rPr/>
            </w:pPr>
            <w:r>
              <w:rPr>
                <w:rFonts w:ascii="Times New Roman" w:hAnsi="Times New Roman" w:eastAsia="Times New Roman" w:cs="Times New Roman"/>
                <w:color w:val="000000"/>
                <w:sz w:val="24"/>
              </w:rPr>
              <w:t xml:space="preserve">Compatibilidad Android/iOS</w:t>
            </w:r>
            <w:r/>
          </w:p>
        </w:tc>
        <w:tc>
          <w:tcPr>
            <w:tcBorders/>
            <w:tcMar>
              <w:left w:w="15" w:type="dxa"/>
              <w:top w:w="15" w:type="dxa"/>
              <w:right w:w="15" w:type="dxa"/>
              <w:bottom w:w="15" w:type="dxa"/>
            </w:tcMar>
            <w:tcW w:w="2113" w:type="dxa"/>
            <w:vAlign w:val="center"/>
          </w:tcPr>
          <w:p w14:paraId="0BE4B2EC">
            <w:pPr>
              <w:pBdr/>
              <w:spacing w:after="0" w:before="0" w:line="240"/>
              <w:ind/>
              <w:jc w:val="left"/>
              <w:rPr/>
            </w:pPr>
            <w:r>
              <w:rPr>
                <w:rFonts w:ascii="Times New Roman" w:hAnsi="Times New Roman" w:eastAsia="Times New Roman" w:cs="Times New Roman"/>
                <w:color w:val="000000"/>
                <w:sz w:val="24"/>
              </w:rPr>
              <w:t xml:space="preserve">Compatibilidad móvil</w:t>
            </w:r>
            <w:r/>
          </w:p>
        </w:tc>
        <w:tc>
          <w:tcPr>
            <w:tcBorders/>
            <w:tcMar>
              <w:left w:w="15" w:type="dxa"/>
              <w:top w:w="15" w:type="dxa"/>
              <w:right w:w="15" w:type="dxa"/>
              <w:bottom w:w="15" w:type="dxa"/>
            </w:tcMar>
            <w:tcW w:w="1726" w:type="dxa"/>
            <w:vAlign w:val="center"/>
          </w:tcPr>
          <w:p w14:paraId="28477095">
            <w:pPr>
              <w:pBdr/>
              <w:spacing w:after="0" w:before="0" w:line="240"/>
              <w:ind/>
              <w:jc w:val="left"/>
              <w:rPr/>
            </w:pPr>
            <w:r>
              <w:rPr>
                <w:rFonts w:ascii="Times New Roman" w:hAnsi="Times New Roman" w:eastAsia="Times New Roman" w:cs="Times New Roman"/>
                <w:color w:val="000000"/>
                <w:sz w:val="24"/>
              </w:rPr>
              <w:t xml:space="preserve">Parcial</w:t>
            </w:r>
            <w:r/>
          </w:p>
        </w:tc>
      </w:tr>
      <w:tr>
        <w:trPr/>
        <w:tc>
          <w:tcPr>
            <w:tcBorders/>
            <w:tcMar>
              <w:left w:w="15" w:type="dxa"/>
              <w:top w:w="15" w:type="dxa"/>
              <w:right w:w="15" w:type="dxa"/>
              <w:bottom w:w="15" w:type="dxa"/>
            </w:tcMar>
            <w:tcW w:w="907" w:type="dxa"/>
            <w:vAlign w:val="center"/>
          </w:tcPr>
          <w:p w14:paraId="496C77A2">
            <w:pPr>
              <w:pBdr/>
              <w:spacing w:after="0" w:before="0" w:line="240"/>
              <w:ind/>
              <w:jc w:val="left"/>
              <w:rPr/>
            </w:pPr>
            <w:r>
              <w:rPr>
                <w:rFonts w:ascii="Times New Roman" w:hAnsi="Times New Roman" w:eastAsia="Times New Roman" w:cs="Times New Roman"/>
                <w:color w:val="000000"/>
                <w:sz w:val="24"/>
              </w:rPr>
              <w:t xml:space="preserve">RNF-030</w:t>
            </w:r>
            <w:r/>
          </w:p>
        </w:tc>
        <w:tc>
          <w:tcPr>
            <w:tcBorders/>
            <w:tcMar>
              <w:left w:w="15" w:type="dxa"/>
              <w:top w:w="15" w:type="dxa"/>
              <w:right w:w="15" w:type="dxa"/>
              <w:bottom w:w="15" w:type="dxa"/>
            </w:tcMar>
            <w:tcW w:w="3792" w:type="dxa"/>
            <w:vAlign w:val="center"/>
          </w:tcPr>
          <w:p w14:paraId="054D4073">
            <w:pPr>
              <w:pBdr/>
              <w:spacing w:after="0" w:before="0" w:line="240"/>
              <w:ind/>
              <w:jc w:val="left"/>
              <w:rPr/>
            </w:pPr>
            <w:r>
              <w:rPr>
                <w:rFonts w:ascii="Times New Roman" w:hAnsi="Times New Roman" w:eastAsia="Times New Roman" w:cs="Times New Roman"/>
                <w:color w:val="000000"/>
                <w:sz w:val="24"/>
              </w:rPr>
              <w:t xml:space="preserve">Adaptación a pantallas móviles</w:t>
            </w:r>
            <w:r/>
          </w:p>
        </w:tc>
        <w:tc>
          <w:tcPr>
            <w:tcBorders/>
            <w:tcMar>
              <w:left w:w="15" w:type="dxa"/>
              <w:top w:w="15" w:type="dxa"/>
              <w:right w:w="15" w:type="dxa"/>
              <w:bottom w:w="15" w:type="dxa"/>
            </w:tcMar>
            <w:tcW w:w="2113" w:type="dxa"/>
            <w:vAlign w:val="center"/>
          </w:tcPr>
          <w:p w14:paraId="48CC2020">
            <w:pPr>
              <w:pBdr/>
              <w:spacing w:after="0" w:before="0" w:line="240"/>
              <w:ind/>
              <w:jc w:val="left"/>
              <w:rPr/>
            </w:pPr>
            <w:r>
              <w:rPr>
                <w:rFonts w:ascii="Times New Roman" w:hAnsi="Times New Roman" w:eastAsia="Times New Roman" w:cs="Times New Roman"/>
                <w:color w:val="000000"/>
                <w:sz w:val="24"/>
              </w:rPr>
              <w:t xml:space="preserve">Compatibilidad móvil</w:t>
            </w:r>
            <w:r/>
          </w:p>
        </w:tc>
        <w:tc>
          <w:tcPr>
            <w:tcBorders/>
            <w:tcMar>
              <w:left w:w="15" w:type="dxa"/>
              <w:top w:w="15" w:type="dxa"/>
              <w:right w:w="15" w:type="dxa"/>
              <w:bottom w:w="15" w:type="dxa"/>
            </w:tcMar>
            <w:tcW w:w="1726" w:type="dxa"/>
            <w:vAlign w:val="center"/>
          </w:tcPr>
          <w:p w14:paraId="00EB0471">
            <w:pPr>
              <w:pBdr/>
              <w:spacing w:after="0" w:before="0" w:line="240"/>
              <w:ind/>
              <w:jc w:val="left"/>
              <w:rPr/>
            </w:pPr>
            <w:r>
              <w:rPr>
                <w:rFonts w:ascii="Times New Roman" w:hAnsi="Times New Roman" w:eastAsia="Times New Roman" w:cs="Times New Roman"/>
                <w:color w:val="000000"/>
                <w:sz w:val="24"/>
              </w:rPr>
              <w:t xml:space="preserve">Implementado</w:t>
            </w:r>
            <w:r/>
          </w:p>
        </w:tc>
      </w:tr>
      <w:tr>
        <w:trPr/>
        <w:tc>
          <w:tcPr>
            <w:tcBorders/>
            <w:tcMar>
              <w:left w:w="15" w:type="dxa"/>
              <w:top w:w="15" w:type="dxa"/>
              <w:right w:w="15" w:type="dxa"/>
              <w:bottom w:w="15" w:type="dxa"/>
            </w:tcMar>
            <w:tcW w:w="907" w:type="dxa"/>
            <w:vAlign w:val="center"/>
          </w:tcPr>
          <w:p w14:paraId="2CA62DE7">
            <w:pPr>
              <w:pBdr/>
              <w:spacing w:after="0" w:before="0" w:line="240"/>
              <w:ind/>
              <w:jc w:val="left"/>
              <w:rPr/>
            </w:pPr>
            <w:r>
              <w:rPr>
                <w:rFonts w:ascii="Times New Roman" w:hAnsi="Times New Roman" w:eastAsia="Times New Roman" w:cs="Times New Roman"/>
                <w:color w:val="000000"/>
                <w:sz w:val="24"/>
              </w:rPr>
              <w:t xml:space="preserve">RNF-031</w:t>
            </w:r>
            <w:r/>
          </w:p>
        </w:tc>
        <w:tc>
          <w:tcPr>
            <w:tcBorders/>
            <w:tcMar>
              <w:left w:w="15" w:type="dxa"/>
              <w:top w:w="15" w:type="dxa"/>
              <w:right w:w="15" w:type="dxa"/>
              <w:bottom w:w="15" w:type="dxa"/>
            </w:tcMar>
            <w:tcW w:w="3792" w:type="dxa"/>
            <w:vAlign w:val="center"/>
          </w:tcPr>
          <w:p w14:paraId="4287A384">
            <w:pPr>
              <w:pBdr/>
              <w:spacing w:after="0" w:before="0" w:line="240"/>
              <w:ind/>
              <w:jc w:val="left"/>
              <w:rPr/>
            </w:pPr>
            <w:r>
              <w:rPr>
                <w:rFonts w:ascii="Times New Roman" w:hAnsi="Times New Roman" w:eastAsia="Times New Roman" w:cs="Times New Roman"/>
                <w:color w:val="000000"/>
                <w:sz w:val="24"/>
              </w:rPr>
              <w:t xml:space="preserve">Diseño para tablet</w:t>
            </w:r>
            <w:r/>
          </w:p>
        </w:tc>
        <w:tc>
          <w:tcPr>
            <w:tcBorders/>
            <w:tcMar>
              <w:left w:w="15" w:type="dxa"/>
              <w:top w:w="15" w:type="dxa"/>
              <w:right w:w="15" w:type="dxa"/>
              <w:bottom w:w="15" w:type="dxa"/>
            </w:tcMar>
            <w:tcW w:w="2113" w:type="dxa"/>
            <w:vAlign w:val="center"/>
          </w:tcPr>
          <w:p w14:paraId="65D9FFF9">
            <w:pPr>
              <w:pBdr/>
              <w:spacing w:after="0" w:before="0" w:line="240"/>
              <w:ind/>
              <w:jc w:val="left"/>
              <w:rPr/>
            </w:pPr>
            <w:r>
              <w:rPr>
                <w:rFonts w:ascii="Times New Roman" w:hAnsi="Times New Roman" w:eastAsia="Times New Roman" w:cs="Times New Roman"/>
                <w:color w:val="000000"/>
                <w:sz w:val="24"/>
              </w:rPr>
              <w:t xml:space="preserve">Compatibilidad móvil</w:t>
            </w:r>
            <w:r/>
          </w:p>
        </w:tc>
        <w:tc>
          <w:tcPr>
            <w:tcBorders/>
            <w:tcMar>
              <w:left w:w="15" w:type="dxa"/>
              <w:top w:w="15" w:type="dxa"/>
              <w:right w:w="15" w:type="dxa"/>
              <w:bottom w:w="15" w:type="dxa"/>
            </w:tcMar>
            <w:tcW w:w="1726" w:type="dxa"/>
            <w:vAlign w:val="center"/>
          </w:tcPr>
          <w:p w14:paraId="2E65E648">
            <w:pPr>
              <w:pBdr/>
              <w:spacing w:after="0" w:before="0" w:line="240"/>
              <w:ind/>
              <w:jc w:val="left"/>
              <w:rPr/>
            </w:pPr>
            <w:r>
              <w:rPr>
                <w:rFonts w:ascii="Times New Roman" w:hAnsi="Times New Roman" w:eastAsia="Times New Roman" w:cs="Times New Roman"/>
                <w:color w:val="000000"/>
                <w:sz w:val="24"/>
              </w:rPr>
              <w:t xml:space="preserve">No implementado</w:t>
            </w:r>
            <w:r/>
          </w:p>
        </w:tc>
      </w:tr>
    </w:tbl>
    <w:p>
      <w:pPr>
        <w:pStyle w:val="703"/>
        <w:pBdr/>
        <w:spacing/>
        <w:ind/>
        <w:jc w:val="left"/>
        <w:rPr/>
      </w:pPr>
      <w:r/>
      <w:r/>
    </w:p>
    <w:sectPr>
      <w:footerReference w:type="default" r:id="rId9"/>
      <w:footnotePr/>
      <w:endnotePr/>
      <w:type w:val="nextPage"/>
      <w:pgSz w:h="15840" w:orient="portrait" w:w="12240"/>
      <w:pgMar w:top="1440" w:right="1440" w:bottom="1440" w:left="144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ourier">
    <w:panose1 w:val="05040102010807070707"/>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01"/>
      <w:pBdr/>
      <w:spacing w:line="240" w:lineRule="auto"/>
      <w:ind/>
      <w:jc w:val="center"/>
      <w:rPr/>
    </w:pPr>
    <w:r>
      <w:rPr>
        <w:rFonts w:ascii="Times New Roman" w:hAnsi="Times New Roman" w:cs="Times New Roman"/>
        <w:b w:val="0"/>
        <w:i w:val="0"/>
        <w:color w:val="000000"/>
        <w:sz w:val="20"/>
      </w:rPr>
      <w:fldChar w:fldCharType="begin"/>
      <w:instrText xml:space="preserve">PAGE</w:instrText>
      <w:fldChar w:fldCharType="end"/>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3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3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3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3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36"/>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33"/>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nsid w:val="2C68634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1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1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1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1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1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1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1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1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1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1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1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1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1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1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1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1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1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1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1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1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1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1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1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1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1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1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1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1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1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1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1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1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1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1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1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1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1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1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1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1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1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1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1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1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1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1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1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1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1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1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1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1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1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1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1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1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1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1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1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1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1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1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1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1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1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1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1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1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1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1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1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1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1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1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1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1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1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1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1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1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1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1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1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1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1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1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1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1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698"/>
    <w:link w:val="182"/>
    <w:uiPriority w:val="99"/>
    <w:semiHidden/>
    <w:unhideWhenUsed/>
    <w:pPr>
      <w:pBdr/>
      <w:spacing w:after="0" w:line="240" w:lineRule="auto"/>
      <w:ind/>
    </w:pPr>
    <w:rPr>
      <w:sz w:val="20"/>
      <w:szCs w:val="20"/>
    </w:rPr>
  </w:style>
  <w:style w:type="character" w:styleId="182">
    <w:name w:val="Footnote Text Char"/>
    <w:basedOn w:val="712"/>
    <w:link w:val="181"/>
    <w:uiPriority w:val="99"/>
    <w:semiHidden/>
    <w:pPr>
      <w:pBdr/>
      <w:spacing/>
      <w:ind/>
    </w:pPr>
    <w:rPr>
      <w:sz w:val="20"/>
      <w:szCs w:val="20"/>
    </w:rPr>
  </w:style>
  <w:style w:type="character" w:styleId="183">
    <w:name w:val="footnote reference"/>
    <w:basedOn w:val="712"/>
    <w:uiPriority w:val="99"/>
    <w:semiHidden/>
    <w:unhideWhenUsed/>
    <w:pPr>
      <w:pBdr/>
      <w:spacing/>
      <w:ind/>
    </w:pPr>
    <w:rPr>
      <w:vertAlign w:val="superscript"/>
    </w:rPr>
  </w:style>
  <w:style w:type="paragraph" w:styleId="184">
    <w:name w:val="endnote text"/>
    <w:basedOn w:val="698"/>
    <w:link w:val="185"/>
    <w:uiPriority w:val="99"/>
    <w:semiHidden/>
    <w:unhideWhenUsed/>
    <w:pPr>
      <w:pBdr/>
      <w:spacing w:after="0" w:line="240" w:lineRule="auto"/>
      <w:ind/>
    </w:pPr>
    <w:rPr>
      <w:sz w:val="20"/>
      <w:szCs w:val="20"/>
    </w:rPr>
  </w:style>
  <w:style w:type="character" w:styleId="185">
    <w:name w:val="Endnote Text Char"/>
    <w:basedOn w:val="712"/>
    <w:link w:val="184"/>
    <w:uiPriority w:val="99"/>
    <w:semiHidden/>
    <w:pPr>
      <w:pBdr/>
      <w:spacing/>
      <w:ind/>
    </w:pPr>
    <w:rPr>
      <w:sz w:val="20"/>
      <w:szCs w:val="20"/>
    </w:rPr>
  </w:style>
  <w:style w:type="character" w:styleId="186">
    <w:name w:val="endnote reference"/>
    <w:basedOn w:val="712"/>
    <w:uiPriority w:val="99"/>
    <w:semiHidden/>
    <w:unhideWhenUsed/>
    <w:pPr>
      <w:pBdr/>
      <w:spacing/>
      <w:ind/>
    </w:pPr>
    <w:rPr>
      <w:vertAlign w:val="superscript"/>
    </w:rPr>
  </w:style>
  <w:style w:type="character" w:styleId="187">
    <w:name w:val="Hyperlink"/>
    <w:basedOn w:val="712"/>
    <w:uiPriority w:val="99"/>
    <w:unhideWhenUsed/>
    <w:pPr>
      <w:pBdr/>
      <w:spacing/>
      <w:ind/>
    </w:pPr>
    <w:rPr>
      <w:color w:val="0563c1" w:themeColor="hyperlink"/>
      <w:u w:val="single"/>
    </w:rPr>
  </w:style>
  <w:style w:type="character" w:styleId="188">
    <w:name w:val="FollowedHyperlink"/>
    <w:basedOn w:val="712"/>
    <w:uiPriority w:val="99"/>
    <w:semiHidden/>
    <w:unhideWhenUsed/>
    <w:pPr>
      <w:pBdr/>
      <w:spacing/>
      <w:ind/>
    </w:pPr>
    <w:rPr>
      <w:color w:val="954f72" w:themeColor="followedHyperlink"/>
      <w:u w:val="single"/>
    </w:rPr>
  </w:style>
  <w:style w:type="paragraph" w:styleId="189">
    <w:name w:val="toc 1"/>
    <w:basedOn w:val="698"/>
    <w:next w:val="698"/>
    <w:uiPriority w:val="39"/>
    <w:unhideWhenUsed/>
    <w:pPr>
      <w:pBdr/>
      <w:spacing w:after="100"/>
      <w:ind/>
    </w:pPr>
  </w:style>
  <w:style w:type="paragraph" w:styleId="190">
    <w:name w:val="toc 2"/>
    <w:basedOn w:val="698"/>
    <w:next w:val="698"/>
    <w:uiPriority w:val="39"/>
    <w:unhideWhenUsed/>
    <w:pPr>
      <w:pBdr/>
      <w:spacing w:after="100"/>
      <w:ind w:left="220"/>
    </w:pPr>
  </w:style>
  <w:style w:type="paragraph" w:styleId="191">
    <w:name w:val="toc 3"/>
    <w:basedOn w:val="698"/>
    <w:next w:val="698"/>
    <w:uiPriority w:val="39"/>
    <w:unhideWhenUsed/>
    <w:pPr>
      <w:pBdr/>
      <w:spacing w:after="100"/>
      <w:ind w:left="440"/>
    </w:pPr>
  </w:style>
  <w:style w:type="paragraph" w:styleId="192">
    <w:name w:val="toc 4"/>
    <w:basedOn w:val="698"/>
    <w:next w:val="698"/>
    <w:uiPriority w:val="39"/>
    <w:unhideWhenUsed/>
    <w:pPr>
      <w:pBdr/>
      <w:spacing w:after="100"/>
      <w:ind w:left="660"/>
    </w:pPr>
  </w:style>
  <w:style w:type="paragraph" w:styleId="193">
    <w:name w:val="toc 5"/>
    <w:basedOn w:val="698"/>
    <w:next w:val="698"/>
    <w:uiPriority w:val="39"/>
    <w:unhideWhenUsed/>
    <w:pPr>
      <w:pBdr/>
      <w:spacing w:after="100"/>
      <w:ind w:left="880"/>
    </w:pPr>
  </w:style>
  <w:style w:type="paragraph" w:styleId="194">
    <w:name w:val="toc 6"/>
    <w:basedOn w:val="698"/>
    <w:next w:val="698"/>
    <w:uiPriority w:val="39"/>
    <w:unhideWhenUsed/>
    <w:pPr>
      <w:pBdr/>
      <w:spacing w:after="100"/>
      <w:ind w:left="1100"/>
    </w:pPr>
  </w:style>
  <w:style w:type="paragraph" w:styleId="195">
    <w:name w:val="toc 7"/>
    <w:basedOn w:val="698"/>
    <w:next w:val="698"/>
    <w:uiPriority w:val="39"/>
    <w:unhideWhenUsed/>
    <w:pPr>
      <w:pBdr/>
      <w:spacing w:after="100"/>
      <w:ind w:left="1320"/>
    </w:pPr>
  </w:style>
  <w:style w:type="paragraph" w:styleId="196">
    <w:name w:val="toc 8"/>
    <w:basedOn w:val="698"/>
    <w:next w:val="698"/>
    <w:uiPriority w:val="39"/>
    <w:unhideWhenUsed/>
    <w:pPr>
      <w:pBdr/>
      <w:spacing w:after="100"/>
      <w:ind w:left="1540"/>
    </w:pPr>
  </w:style>
  <w:style w:type="paragraph" w:styleId="197">
    <w:name w:val="toc 9"/>
    <w:basedOn w:val="698"/>
    <w:next w:val="698"/>
    <w:uiPriority w:val="39"/>
    <w:unhideWhenUsed/>
    <w:pPr>
      <w:pBdr/>
      <w:spacing w:after="100"/>
      <w:ind w:left="1760"/>
    </w:pPr>
  </w:style>
  <w:style w:type="character" w:styleId="198">
    <w:name w:val="Placeholder Text"/>
    <w:basedOn w:val="712"/>
    <w:uiPriority w:val="99"/>
    <w:semiHidden/>
    <w:pPr>
      <w:pBdr/>
      <w:spacing/>
      <w:ind/>
    </w:pPr>
    <w:rPr>
      <w:color w:val="666666"/>
    </w:rPr>
  </w:style>
  <w:style w:type="paragraph" w:styleId="209">
    <w:name w:val="table of figures"/>
    <w:basedOn w:val="698"/>
    <w:next w:val="698"/>
    <w:uiPriority w:val="99"/>
    <w:unhideWhenUsed/>
    <w:pPr>
      <w:pBdr/>
      <w:spacing w:after="0" w:afterAutospacing="0"/>
      <w:ind/>
    </w:pPr>
  </w:style>
  <w:style w:type="paragraph" w:styleId="698" w:default="1">
    <w:name w:val="Normal"/>
    <w:qFormat/>
    <w:pPr>
      <w:pBdr/>
      <w:spacing w:after="0" w:before="0" w:line="480" w:lineRule="auto"/>
      <w:ind/>
      <w:jc w:val="both"/>
    </w:pPr>
    <w:rPr>
      <w:rFonts w:ascii="Times New Roman" w:hAnsi="Times New Roman"/>
      <w:color w:val="000000"/>
      <w:sz w:val="24"/>
    </w:rPr>
  </w:style>
  <w:style w:type="paragraph" w:styleId="699">
    <w:name w:val="Header"/>
    <w:basedOn w:val="698"/>
    <w:link w:val="700"/>
    <w:uiPriority w:val="99"/>
    <w:unhideWhenUsed/>
    <w:pPr>
      <w:pBdr/>
      <w:tabs>
        <w:tab w:val="center" w:leader="none" w:pos="4680"/>
        <w:tab w:val="right" w:leader="none" w:pos="9360"/>
      </w:tabs>
      <w:spacing w:after="0" w:line="240" w:lineRule="auto"/>
      <w:ind/>
    </w:pPr>
  </w:style>
  <w:style w:type="character" w:styleId="700" w:customStyle="1">
    <w:name w:val="Header Char"/>
    <w:basedOn w:val="712"/>
    <w:link w:val="699"/>
    <w:uiPriority w:val="99"/>
    <w:pPr>
      <w:pBdr/>
      <w:spacing/>
      <w:ind/>
    </w:pPr>
  </w:style>
  <w:style w:type="paragraph" w:styleId="701">
    <w:name w:val="Footer"/>
    <w:basedOn w:val="698"/>
    <w:link w:val="702"/>
    <w:uiPriority w:val="99"/>
    <w:unhideWhenUsed/>
    <w:pPr>
      <w:pBdr/>
      <w:tabs>
        <w:tab w:val="center" w:leader="none" w:pos="4680"/>
        <w:tab w:val="right" w:leader="none" w:pos="9360"/>
      </w:tabs>
      <w:spacing w:after="0" w:line="240" w:lineRule="auto"/>
      <w:ind/>
    </w:pPr>
  </w:style>
  <w:style w:type="character" w:styleId="702" w:customStyle="1">
    <w:name w:val="Footer Char"/>
    <w:basedOn w:val="712"/>
    <w:link w:val="701"/>
    <w:uiPriority w:val="99"/>
    <w:pPr>
      <w:pBdr/>
      <w:spacing/>
      <w:ind/>
    </w:pPr>
  </w:style>
  <w:style w:type="paragraph" w:styleId="703">
    <w:name w:val="Heading 1"/>
    <w:basedOn w:val="698"/>
    <w:next w:val="698"/>
    <w:link w:val="716"/>
    <w:uiPriority w:val="9"/>
    <w:qFormat/>
    <w:pPr>
      <w:keepNext w:val="true"/>
      <w:keepLines w:val="true"/>
      <w:pBdr/>
      <w:spacing w:after="120" w:before="240" w:line="360" w:lineRule="auto"/>
      <w:ind/>
      <w:jc w:val="left"/>
      <w:outlineLvl w:val="0"/>
    </w:pPr>
    <w:rPr>
      <w:rFonts w:ascii="Times New Roman" w:hAnsi="Times New Roman" w:asciiTheme="majorHAnsi" w:hAnsiTheme="majorHAnsi" w:eastAsiaTheme="majorEastAsia" w:cstheme="majorBidi"/>
      <w:b/>
      <w:bCs/>
      <w:i w:val="0"/>
      <w:color w:val="000000"/>
      <w:sz w:val="28"/>
      <w:szCs w:val="28"/>
    </w:rPr>
  </w:style>
  <w:style w:type="paragraph" w:styleId="704">
    <w:name w:val="Heading 2"/>
    <w:basedOn w:val="698"/>
    <w:next w:val="698"/>
    <w:link w:val="717"/>
    <w:uiPriority w:val="9"/>
    <w:unhideWhenUsed/>
    <w:qFormat/>
    <w:pPr>
      <w:keepNext w:val="true"/>
      <w:keepLines w:val="true"/>
      <w:pBdr/>
      <w:spacing w:after="120" w:before="160" w:line="360" w:lineRule="auto"/>
      <w:ind/>
      <w:jc w:val="left"/>
      <w:outlineLvl w:val="1"/>
    </w:pPr>
    <w:rPr>
      <w:rFonts w:ascii="Times New Roman" w:hAnsi="Times New Roman" w:asciiTheme="majorHAnsi" w:hAnsiTheme="majorHAnsi" w:eastAsiaTheme="majorEastAsia" w:cstheme="majorBidi"/>
      <w:b/>
      <w:bCs/>
      <w:i w:val="0"/>
      <w:color w:val="000000"/>
      <w:sz w:val="26"/>
      <w:szCs w:val="26"/>
    </w:rPr>
  </w:style>
  <w:style w:type="paragraph" w:styleId="705">
    <w:name w:val="Heading 3"/>
    <w:basedOn w:val="698"/>
    <w:next w:val="698"/>
    <w:link w:val="718"/>
    <w:uiPriority w:val="9"/>
    <w:unhideWhenUsed/>
    <w:qFormat/>
    <w:pPr>
      <w:keepNext w:val="true"/>
      <w:keepLines w:val="true"/>
      <w:pBdr/>
      <w:spacing w:after="120" w:before="160" w:line="360" w:lineRule="auto"/>
      <w:ind/>
      <w:jc w:val="left"/>
      <w:outlineLvl w:val="2"/>
    </w:pPr>
    <w:rPr>
      <w:rFonts w:ascii="Times New Roman" w:hAnsi="Times New Roman" w:asciiTheme="majorHAnsi" w:hAnsiTheme="majorHAnsi" w:eastAsiaTheme="majorEastAsia" w:cstheme="majorBidi"/>
      <w:b/>
      <w:bCs/>
      <w:i w:val="0"/>
      <w:color w:val="000000"/>
      <w:sz w:val="24"/>
    </w:rPr>
  </w:style>
  <w:style w:type="paragraph" w:styleId="706">
    <w:name w:val="Heading 4"/>
    <w:basedOn w:val="698"/>
    <w:next w:val="698"/>
    <w:link w:val="746"/>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07">
    <w:name w:val="Heading 5"/>
    <w:basedOn w:val="698"/>
    <w:next w:val="698"/>
    <w:link w:val="747"/>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08">
    <w:name w:val="Heading 6"/>
    <w:basedOn w:val="698"/>
    <w:next w:val="698"/>
    <w:link w:val="748"/>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09">
    <w:name w:val="Heading 7"/>
    <w:basedOn w:val="698"/>
    <w:next w:val="698"/>
    <w:link w:val="749"/>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10">
    <w:name w:val="Heading 8"/>
    <w:basedOn w:val="698"/>
    <w:next w:val="698"/>
    <w:link w:val="750"/>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11">
    <w:name w:val="Heading 9"/>
    <w:basedOn w:val="698"/>
    <w:next w:val="698"/>
    <w:link w:val="751"/>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12" w:default="1">
    <w:name w:val="Default Paragraph Font"/>
    <w:uiPriority w:val="1"/>
    <w:semiHidden/>
    <w:unhideWhenUsed/>
    <w:pPr>
      <w:pBdr/>
      <w:spacing/>
      <w:ind/>
    </w:pPr>
  </w:style>
  <w:style w:type="table" w:styleId="71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14" w:default="1">
    <w:name w:val="No List"/>
    <w:uiPriority w:val="99"/>
    <w:semiHidden/>
    <w:unhideWhenUsed/>
    <w:pPr>
      <w:pBdr/>
      <w:spacing/>
      <w:ind/>
    </w:pPr>
  </w:style>
  <w:style w:type="paragraph" w:styleId="715">
    <w:name w:val="No Spacing"/>
    <w:uiPriority w:val="1"/>
    <w:qFormat/>
    <w:pPr>
      <w:pBdr/>
      <w:spacing w:after="0" w:line="240" w:lineRule="auto"/>
      <w:ind/>
    </w:pPr>
  </w:style>
  <w:style w:type="character" w:styleId="716" w:customStyle="1">
    <w:name w:val="Heading 1 Char"/>
    <w:basedOn w:val="712"/>
    <w:link w:val="703"/>
    <w:uiPriority w:val="9"/>
    <w:pPr>
      <w:pBdr/>
      <w:spacing/>
      <w:ind/>
    </w:pPr>
    <w:rPr>
      <w:rFonts w:asciiTheme="majorHAnsi" w:hAnsiTheme="majorHAnsi" w:eastAsiaTheme="majorEastAsia" w:cstheme="majorBidi"/>
      <w:b/>
      <w:bCs/>
      <w:color w:val="365f91" w:themeColor="accent1" w:themeShade="BF"/>
      <w:sz w:val="28"/>
      <w:szCs w:val="28"/>
    </w:rPr>
  </w:style>
  <w:style w:type="character" w:styleId="717" w:customStyle="1">
    <w:name w:val="Heading 2 Char"/>
    <w:basedOn w:val="712"/>
    <w:link w:val="704"/>
    <w:uiPriority w:val="9"/>
    <w:pPr>
      <w:pBdr/>
      <w:spacing/>
      <w:ind/>
    </w:pPr>
    <w:rPr>
      <w:rFonts w:asciiTheme="majorHAnsi" w:hAnsiTheme="majorHAnsi" w:eastAsiaTheme="majorEastAsia" w:cstheme="majorBidi"/>
      <w:b/>
      <w:bCs/>
      <w:color w:val="4f81bd" w:themeColor="accent1"/>
      <w:sz w:val="26"/>
      <w:szCs w:val="26"/>
    </w:rPr>
  </w:style>
  <w:style w:type="character" w:styleId="718" w:customStyle="1">
    <w:name w:val="Heading 3 Char"/>
    <w:basedOn w:val="712"/>
    <w:link w:val="705"/>
    <w:uiPriority w:val="9"/>
    <w:pPr>
      <w:pBdr/>
      <w:spacing/>
      <w:ind/>
    </w:pPr>
    <w:rPr>
      <w:rFonts w:asciiTheme="majorHAnsi" w:hAnsiTheme="majorHAnsi" w:eastAsiaTheme="majorEastAsia" w:cstheme="majorBidi"/>
      <w:b/>
      <w:bCs/>
      <w:color w:val="4f81bd" w:themeColor="accent1"/>
    </w:rPr>
  </w:style>
  <w:style w:type="paragraph" w:styleId="719">
    <w:name w:val="Title"/>
    <w:basedOn w:val="698"/>
    <w:next w:val="698"/>
    <w:link w:val="720"/>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20" w:customStyle="1">
    <w:name w:val="Title Char"/>
    <w:basedOn w:val="712"/>
    <w:link w:val="719"/>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21">
    <w:name w:val="Subtitle"/>
    <w:basedOn w:val="698"/>
    <w:next w:val="698"/>
    <w:link w:val="722"/>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22" w:customStyle="1">
    <w:name w:val="Subtitle Char"/>
    <w:basedOn w:val="712"/>
    <w:link w:val="721"/>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23">
    <w:name w:val="List Paragraph"/>
    <w:basedOn w:val="698"/>
    <w:uiPriority w:val="34"/>
    <w:qFormat/>
    <w:pPr>
      <w:pBdr/>
      <w:spacing/>
      <w:ind w:left="720"/>
      <w:contextualSpacing w:val="true"/>
    </w:pPr>
  </w:style>
  <w:style w:type="paragraph" w:styleId="724">
    <w:name w:val="Body Text"/>
    <w:basedOn w:val="698"/>
    <w:link w:val="725"/>
    <w:uiPriority w:val="99"/>
    <w:unhideWhenUsed/>
    <w:pPr>
      <w:pBdr/>
      <w:spacing w:after="120"/>
      <w:ind/>
    </w:pPr>
  </w:style>
  <w:style w:type="character" w:styleId="725" w:customStyle="1">
    <w:name w:val="Body Text Char"/>
    <w:basedOn w:val="712"/>
    <w:link w:val="724"/>
    <w:uiPriority w:val="99"/>
    <w:pPr>
      <w:pBdr/>
      <w:spacing/>
      <w:ind/>
    </w:pPr>
  </w:style>
  <w:style w:type="paragraph" w:styleId="726">
    <w:name w:val="Body Text 2"/>
    <w:basedOn w:val="698"/>
    <w:link w:val="727"/>
    <w:uiPriority w:val="99"/>
    <w:unhideWhenUsed/>
    <w:pPr>
      <w:pBdr/>
      <w:spacing w:after="120" w:line="480" w:lineRule="auto"/>
      <w:ind/>
    </w:pPr>
  </w:style>
  <w:style w:type="character" w:styleId="727" w:customStyle="1">
    <w:name w:val="Body Text 2 Char"/>
    <w:basedOn w:val="712"/>
    <w:link w:val="726"/>
    <w:uiPriority w:val="99"/>
    <w:pPr>
      <w:pBdr/>
      <w:spacing/>
      <w:ind/>
    </w:pPr>
  </w:style>
  <w:style w:type="paragraph" w:styleId="728">
    <w:name w:val="Body Text 3"/>
    <w:basedOn w:val="698"/>
    <w:link w:val="729"/>
    <w:uiPriority w:val="99"/>
    <w:unhideWhenUsed/>
    <w:pPr>
      <w:pBdr/>
      <w:spacing w:after="120"/>
      <w:ind/>
    </w:pPr>
    <w:rPr>
      <w:sz w:val="16"/>
      <w:szCs w:val="16"/>
    </w:rPr>
  </w:style>
  <w:style w:type="character" w:styleId="729" w:customStyle="1">
    <w:name w:val="Body Text 3 Char"/>
    <w:basedOn w:val="712"/>
    <w:link w:val="728"/>
    <w:uiPriority w:val="99"/>
    <w:pPr>
      <w:pBdr/>
      <w:spacing/>
      <w:ind/>
    </w:pPr>
    <w:rPr>
      <w:sz w:val="16"/>
      <w:szCs w:val="16"/>
    </w:rPr>
  </w:style>
  <w:style w:type="paragraph" w:styleId="730">
    <w:name w:val="List"/>
    <w:basedOn w:val="698"/>
    <w:uiPriority w:val="99"/>
    <w:unhideWhenUsed/>
    <w:pPr>
      <w:pBdr/>
      <w:spacing/>
      <w:ind w:hanging="360" w:left="360"/>
      <w:contextualSpacing w:val="true"/>
    </w:pPr>
  </w:style>
  <w:style w:type="paragraph" w:styleId="731">
    <w:name w:val="List 2"/>
    <w:basedOn w:val="698"/>
    <w:uiPriority w:val="99"/>
    <w:unhideWhenUsed/>
    <w:pPr>
      <w:pBdr/>
      <w:spacing/>
      <w:ind w:hanging="360" w:left="720"/>
      <w:contextualSpacing w:val="true"/>
    </w:pPr>
  </w:style>
  <w:style w:type="paragraph" w:styleId="732">
    <w:name w:val="List 3"/>
    <w:basedOn w:val="698"/>
    <w:uiPriority w:val="99"/>
    <w:unhideWhenUsed/>
    <w:pPr>
      <w:pBdr/>
      <w:spacing/>
      <w:ind w:hanging="360" w:left="1080"/>
      <w:contextualSpacing w:val="true"/>
    </w:pPr>
  </w:style>
  <w:style w:type="paragraph" w:styleId="733">
    <w:name w:val="List Bullet"/>
    <w:basedOn w:val="698"/>
    <w:uiPriority w:val="99"/>
    <w:unhideWhenUsed/>
    <w:pPr>
      <w:numPr>
        <w:numId w:val="1"/>
      </w:numPr>
      <w:pBdr/>
      <w:spacing/>
      <w:ind/>
      <w:contextualSpacing w:val="true"/>
    </w:pPr>
  </w:style>
  <w:style w:type="paragraph" w:styleId="734">
    <w:name w:val="List Bullet 2"/>
    <w:basedOn w:val="698"/>
    <w:uiPriority w:val="99"/>
    <w:unhideWhenUsed/>
    <w:pPr>
      <w:numPr>
        <w:numId w:val="2"/>
      </w:numPr>
      <w:pBdr/>
      <w:spacing/>
      <w:ind/>
      <w:contextualSpacing w:val="true"/>
    </w:pPr>
  </w:style>
  <w:style w:type="paragraph" w:styleId="735">
    <w:name w:val="List Bullet 3"/>
    <w:basedOn w:val="698"/>
    <w:uiPriority w:val="99"/>
    <w:unhideWhenUsed/>
    <w:pPr>
      <w:numPr>
        <w:numId w:val="3"/>
      </w:numPr>
      <w:pBdr/>
      <w:spacing/>
      <w:ind/>
      <w:contextualSpacing w:val="true"/>
    </w:pPr>
  </w:style>
  <w:style w:type="paragraph" w:styleId="736">
    <w:name w:val="List Number"/>
    <w:basedOn w:val="698"/>
    <w:uiPriority w:val="99"/>
    <w:unhideWhenUsed/>
    <w:pPr>
      <w:numPr>
        <w:numId w:val="5"/>
      </w:numPr>
      <w:pBdr/>
      <w:spacing/>
      <w:ind/>
      <w:contextualSpacing w:val="true"/>
    </w:pPr>
  </w:style>
  <w:style w:type="paragraph" w:styleId="737">
    <w:name w:val="List Number 2"/>
    <w:basedOn w:val="698"/>
    <w:uiPriority w:val="99"/>
    <w:unhideWhenUsed/>
    <w:pPr>
      <w:numPr>
        <w:numId w:val="6"/>
      </w:numPr>
      <w:pBdr/>
      <w:spacing/>
      <w:ind/>
      <w:contextualSpacing w:val="true"/>
    </w:pPr>
  </w:style>
  <w:style w:type="paragraph" w:styleId="738">
    <w:name w:val="List Number 3"/>
    <w:basedOn w:val="698"/>
    <w:uiPriority w:val="99"/>
    <w:unhideWhenUsed/>
    <w:pPr>
      <w:numPr>
        <w:numId w:val="7"/>
      </w:numPr>
      <w:pBdr/>
      <w:spacing/>
      <w:ind/>
      <w:contextualSpacing w:val="true"/>
    </w:pPr>
  </w:style>
  <w:style w:type="paragraph" w:styleId="739">
    <w:name w:val="List Continue"/>
    <w:basedOn w:val="698"/>
    <w:uiPriority w:val="99"/>
    <w:unhideWhenUsed/>
    <w:pPr>
      <w:pBdr/>
      <w:spacing w:after="120"/>
      <w:ind w:left="360"/>
      <w:contextualSpacing w:val="true"/>
    </w:pPr>
  </w:style>
  <w:style w:type="paragraph" w:styleId="740">
    <w:name w:val="List Continue 2"/>
    <w:basedOn w:val="698"/>
    <w:uiPriority w:val="99"/>
    <w:unhideWhenUsed/>
    <w:pPr>
      <w:pBdr/>
      <w:spacing w:after="120"/>
      <w:ind w:left="720"/>
      <w:contextualSpacing w:val="true"/>
    </w:pPr>
  </w:style>
  <w:style w:type="paragraph" w:styleId="741">
    <w:name w:val="List Continue 3"/>
    <w:basedOn w:val="698"/>
    <w:uiPriority w:val="99"/>
    <w:unhideWhenUsed/>
    <w:pPr>
      <w:pBdr/>
      <w:spacing w:after="120"/>
      <w:ind w:left="1080"/>
      <w:contextualSpacing w:val="true"/>
    </w:pPr>
  </w:style>
  <w:style w:type="paragraph" w:styleId="742">
    <w:name w:val="macro"/>
    <w:link w:val="743"/>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43" w:customStyle="1">
    <w:name w:val="Macro Text Char"/>
    <w:basedOn w:val="712"/>
    <w:link w:val="742"/>
    <w:uiPriority w:val="99"/>
    <w:pPr>
      <w:pBdr/>
      <w:spacing/>
      <w:ind/>
    </w:pPr>
    <w:rPr>
      <w:rFonts w:ascii="Courier" w:hAnsi="Courier"/>
      <w:sz w:val="20"/>
      <w:szCs w:val="20"/>
    </w:rPr>
  </w:style>
  <w:style w:type="paragraph" w:styleId="744">
    <w:name w:val="Quote"/>
    <w:basedOn w:val="698"/>
    <w:next w:val="698"/>
    <w:link w:val="745"/>
    <w:uiPriority w:val="29"/>
    <w:qFormat/>
    <w:pPr>
      <w:pBdr/>
      <w:spacing/>
      <w:ind/>
    </w:pPr>
    <w:rPr>
      <w:i/>
      <w:iCs/>
      <w:color w:val="000000" w:themeColor="text1"/>
    </w:rPr>
  </w:style>
  <w:style w:type="character" w:styleId="745" w:customStyle="1">
    <w:name w:val="Quote Char"/>
    <w:basedOn w:val="712"/>
    <w:link w:val="744"/>
    <w:uiPriority w:val="29"/>
    <w:pPr>
      <w:pBdr/>
      <w:spacing/>
      <w:ind/>
    </w:pPr>
    <w:rPr>
      <w:i/>
      <w:iCs/>
      <w:color w:val="000000" w:themeColor="text1"/>
    </w:rPr>
  </w:style>
  <w:style w:type="character" w:styleId="746" w:customStyle="1">
    <w:name w:val="Heading 4 Char"/>
    <w:basedOn w:val="712"/>
    <w:link w:val="706"/>
    <w:uiPriority w:val="9"/>
    <w:semiHidden/>
    <w:pPr>
      <w:pBdr/>
      <w:spacing/>
      <w:ind/>
    </w:pPr>
    <w:rPr>
      <w:rFonts w:asciiTheme="majorHAnsi" w:hAnsiTheme="majorHAnsi" w:eastAsiaTheme="majorEastAsia" w:cstheme="majorBidi"/>
      <w:b/>
      <w:bCs/>
      <w:i/>
      <w:iCs/>
      <w:color w:val="4f81bd" w:themeColor="accent1"/>
    </w:rPr>
  </w:style>
  <w:style w:type="character" w:styleId="747" w:customStyle="1">
    <w:name w:val="Heading 5 Char"/>
    <w:basedOn w:val="712"/>
    <w:link w:val="707"/>
    <w:uiPriority w:val="9"/>
    <w:semiHidden/>
    <w:pPr>
      <w:pBdr/>
      <w:spacing/>
      <w:ind/>
    </w:pPr>
    <w:rPr>
      <w:rFonts w:asciiTheme="majorHAnsi" w:hAnsiTheme="majorHAnsi" w:eastAsiaTheme="majorEastAsia" w:cstheme="majorBidi"/>
      <w:color w:val="243f60" w:themeColor="accent1" w:themeShade="7F"/>
    </w:rPr>
  </w:style>
  <w:style w:type="character" w:styleId="748" w:customStyle="1">
    <w:name w:val="Heading 6 Char"/>
    <w:basedOn w:val="712"/>
    <w:link w:val="708"/>
    <w:uiPriority w:val="9"/>
    <w:semiHidden/>
    <w:pPr>
      <w:pBdr/>
      <w:spacing/>
      <w:ind/>
    </w:pPr>
    <w:rPr>
      <w:rFonts w:asciiTheme="majorHAnsi" w:hAnsiTheme="majorHAnsi" w:eastAsiaTheme="majorEastAsia" w:cstheme="majorBidi"/>
      <w:i/>
      <w:iCs/>
      <w:color w:val="243f60" w:themeColor="accent1" w:themeShade="7F"/>
    </w:rPr>
  </w:style>
  <w:style w:type="character" w:styleId="749" w:customStyle="1">
    <w:name w:val="Heading 7 Char"/>
    <w:basedOn w:val="712"/>
    <w:link w:val="709"/>
    <w:uiPriority w:val="9"/>
    <w:semiHidden/>
    <w:pPr>
      <w:pBdr/>
      <w:spacing/>
      <w:ind/>
    </w:pPr>
    <w:rPr>
      <w:rFonts w:asciiTheme="majorHAnsi" w:hAnsiTheme="majorHAnsi" w:eastAsiaTheme="majorEastAsia" w:cstheme="majorBidi"/>
      <w:i/>
      <w:iCs/>
      <w:color w:val="404040" w:themeColor="text1" w:themeTint="BF"/>
    </w:rPr>
  </w:style>
  <w:style w:type="character" w:styleId="750" w:customStyle="1">
    <w:name w:val="Heading 8 Char"/>
    <w:basedOn w:val="712"/>
    <w:link w:val="710"/>
    <w:uiPriority w:val="9"/>
    <w:semiHidden/>
    <w:pPr>
      <w:pBdr/>
      <w:spacing/>
      <w:ind/>
    </w:pPr>
    <w:rPr>
      <w:rFonts w:asciiTheme="majorHAnsi" w:hAnsiTheme="majorHAnsi" w:eastAsiaTheme="majorEastAsia" w:cstheme="majorBidi"/>
      <w:color w:val="4f81bd" w:themeColor="accent1"/>
      <w:sz w:val="20"/>
      <w:szCs w:val="20"/>
    </w:rPr>
  </w:style>
  <w:style w:type="character" w:styleId="751" w:customStyle="1">
    <w:name w:val="Heading 9 Char"/>
    <w:basedOn w:val="712"/>
    <w:link w:val="711"/>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52">
    <w:name w:val="Caption"/>
    <w:basedOn w:val="698"/>
    <w:next w:val="698"/>
    <w:uiPriority w:val="35"/>
    <w:semiHidden/>
    <w:unhideWhenUsed/>
    <w:qFormat/>
    <w:pPr>
      <w:pBdr/>
      <w:spacing w:line="240" w:lineRule="auto"/>
      <w:ind/>
    </w:pPr>
    <w:rPr>
      <w:b/>
      <w:bCs/>
      <w:color w:val="4f81bd" w:themeColor="accent1"/>
      <w:sz w:val="18"/>
      <w:szCs w:val="18"/>
    </w:rPr>
  </w:style>
  <w:style w:type="character" w:styleId="753">
    <w:name w:val="Strong"/>
    <w:basedOn w:val="712"/>
    <w:uiPriority w:val="22"/>
    <w:qFormat/>
    <w:pPr>
      <w:pBdr/>
      <w:spacing/>
      <w:ind/>
    </w:pPr>
    <w:rPr>
      <w:b/>
      <w:bCs/>
    </w:rPr>
  </w:style>
  <w:style w:type="character" w:styleId="754">
    <w:name w:val="Emphasis"/>
    <w:basedOn w:val="712"/>
    <w:uiPriority w:val="20"/>
    <w:qFormat/>
    <w:pPr>
      <w:pBdr/>
      <w:spacing/>
      <w:ind/>
    </w:pPr>
    <w:rPr>
      <w:i/>
      <w:iCs/>
    </w:rPr>
  </w:style>
  <w:style w:type="paragraph" w:styleId="755">
    <w:name w:val="Intense Quote"/>
    <w:basedOn w:val="698"/>
    <w:next w:val="698"/>
    <w:link w:val="756"/>
    <w:uiPriority w:val="30"/>
    <w:qFormat/>
    <w:pPr>
      <w:pBdr>
        <w:bottom w:val="single" w:color="4f81bd" w:themeColor="accent1" w:sz="4" w:space="4"/>
      </w:pBdr>
      <w:spacing w:after="280" w:before="200"/>
      <w:ind w:right="936" w:left="936"/>
    </w:pPr>
    <w:rPr>
      <w:b/>
      <w:bCs/>
      <w:i/>
      <w:iCs/>
      <w:color w:val="4f81bd" w:themeColor="accent1"/>
    </w:rPr>
  </w:style>
  <w:style w:type="character" w:styleId="756" w:customStyle="1">
    <w:name w:val="Intense Quote Char"/>
    <w:basedOn w:val="712"/>
    <w:link w:val="755"/>
    <w:uiPriority w:val="30"/>
    <w:pPr>
      <w:pBdr/>
      <w:spacing/>
      <w:ind/>
    </w:pPr>
    <w:rPr>
      <w:b/>
      <w:bCs/>
      <w:i/>
      <w:iCs/>
      <w:color w:val="4f81bd" w:themeColor="accent1"/>
    </w:rPr>
  </w:style>
  <w:style w:type="character" w:styleId="757">
    <w:name w:val="Subtle Emphasis"/>
    <w:basedOn w:val="712"/>
    <w:uiPriority w:val="19"/>
    <w:qFormat/>
    <w:pPr>
      <w:pBdr/>
      <w:spacing/>
      <w:ind/>
    </w:pPr>
    <w:rPr>
      <w:i/>
      <w:iCs/>
      <w:color w:val="808080" w:themeColor="text1" w:themeTint="7F"/>
    </w:rPr>
  </w:style>
  <w:style w:type="character" w:styleId="758">
    <w:name w:val="Intense Emphasis"/>
    <w:basedOn w:val="712"/>
    <w:uiPriority w:val="21"/>
    <w:qFormat/>
    <w:pPr>
      <w:pBdr/>
      <w:spacing/>
      <w:ind/>
    </w:pPr>
    <w:rPr>
      <w:b/>
      <w:bCs/>
      <w:i/>
      <w:iCs/>
      <w:color w:val="4f81bd" w:themeColor="accent1"/>
    </w:rPr>
  </w:style>
  <w:style w:type="character" w:styleId="759">
    <w:name w:val="Subtle Reference"/>
    <w:basedOn w:val="712"/>
    <w:uiPriority w:val="31"/>
    <w:qFormat/>
    <w:pPr>
      <w:pBdr/>
      <w:spacing/>
      <w:ind/>
    </w:pPr>
    <w:rPr>
      <w:smallCaps/>
      <w:color w:val="c0504d" w:themeColor="accent2"/>
      <w:u w:val="single"/>
    </w:rPr>
  </w:style>
  <w:style w:type="character" w:styleId="760">
    <w:name w:val="Intense Reference"/>
    <w:basedOn w:val="712"/>
    <w:uiPriority w:val="32"/>
    <w:qFormat/>
    <w:pPr>
      <w:pBdr/>
      <w:spacing/>
      <w:ind/>
    </w:pPr>
    <w:rPr>
      <w:b/>
      <w:bCs/>
      <w:smallCaps/>
      <w:color w:val="c0504d" w:themeColor="accent2"/>
      <w:spacing w:val="5"/>
      <w:u w:val="single"/>
    </w:rPr>
  </w:style>
  <w:style w:type="character" w:styleId="761">
    <w:name w:val="Book Title"/>
    <w:basedOn w:val="712"/>
    <w:uiPriority w:val="33"/>
    <w:qFormat/>
    <w:pPr>
      <w:pBdr/>
      <w:spacing/>
      <w:ind/>
    </w:pPr>
    <w:rPr>
      <w:b/>
      <w:bCs/>
      <w:smallCaps/>
      <w:spacing w:val="5"/>
    </w:rPr>
  </w:style>
  <w:style w:type="paragraph" w:styleId="762">
    <w:name w:val="TOC Heading"/>
    <w:basedOn w:val="703"/>
    <w:next w:val="698"/>
    <w:uiPriority w:val="39"/>
    <w:semiHidden/>
    <w:unhideWhenUsed/>
    <w:qFormat/>
    <w:pPr>
      <w:pBdr/>
      <w:spacing/>
      <w:ind/>
      <w:outlineLvl w:val="9"/>
    </w:pPr>
  </w:style>
  <w:style w:type="table" w:styleId="763">
    <w:name w:val="Table Grid"/>
    <w:basedOn w:val="71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ght Shading"/>
    <w:basedOn w:val="713"/>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ght Shading Accent 1"/>
    <w:basedOn w:val="713"/>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ght Shading Accent 2"/>
    <w:basedOn w:val="713"/>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ght Shading Accent 3"/>
    <w:basedOn w:val="713"/>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ght Shading Accent 4"/>
    <w:basedOn w:val="713"/>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ght Shading Accent 5"/>
    <w:basedOn w:val="713"/>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ght Shading Accent 6"/>
    <w:basedOn w:val="713"/>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ght List"/>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ght List Accent 1"/>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ght List Accent 2"/>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ght List Accent 3"/>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ght List Accent 4"/>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ght List Accent 5"/>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List Accent 6"/>
    <w:basedOn w:val="713"/>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Grid"/>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Grid Accent 1"/>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Grid Accent 2"/>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Grid Accent 3"/>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Grid Accent 4"/>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Grid Accent 5"/>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Grid Accent 6"/>
    <w:basedOn w:val="713"/>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Medium Shading 1"/>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Medium Shading 1 Accent 1"/>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Medium Shading 1 Accent 2"/>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Medium Shading 1 Accent 3"/>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Medium Shading 1 Accent 4"/>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Medium Shading 1 Accent 5"/>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Medium Shading 1 Accent 6"/>
    <w:basedOn w:val="713"/>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Medium Shading 2"/>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Medium Shading 2 Accent 1"/>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Medium Shading 2 Accent 2"/>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Medium Shading 2 Accent 3"/>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Medium Shading 2 Accent 4"/>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Medium Shading 2 Accent 5"/>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2 Accent 6"/>
    <w:basedOn w:val="713"/>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List 1"/>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List 1 Accent 1"/>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List 1 Accent 2"/>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List 1 Accent 3"/>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List 1 Accent 4"/>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List 1 Accent 5"/>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List 1 Accent 6"/>
    <w:basedOn w:val="713"/>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List 2"/>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List 2 Accent 1"/>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List 2 Accent 2"/>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List 2 Accent 3"/>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List 2 Accent 4"/>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List 2 Accent 5"/>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2 Accent 6"/>
    <w:basedOn w:val="713"/>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Grid 1"/>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Grid 1 Accent 1"/>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Grid 1 Accent 2"/>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Grid 1 Accent 3"/>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Grid 1 Accent 4"/>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Grid 1 Accent 5"/>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Grid 1 Accent 6"/>
    <w:basedOn w:val="713"/>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Grid 2"/>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Grid 2 Accent 1"/>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Grid 2 Accent 2"/>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Grid 2 Accent 3"/>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Grid 2 Accent 4"/>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Grid 2 Accent 5"/>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2 Accent 6"/>
    <w:basedOn w:val="713"/>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3"/>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3 Accent 1"/>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3 Accent 2"/>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3 Accent 3"/>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3 Accent 4"/>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3 Accent 5"/>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3 Accent 6"/>
    <w:basedOn w:val="713"/>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Dark List"/>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Dark List Accent 1"/>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Dark List Accent 2"/>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Dark List Accent 3"/>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Dark List Accent 4"/>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Dark List Accent 5"/>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Dark List Accent 6"/>
    <w:basedOn w:val="713"/>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Colorful Shading"/>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Colorful Shading Accent 1"/>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Colorful Shading Accent 2"/>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Colorful Shading Accent 3"/>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Colorful Shading Accent 4"/>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Colorful Shading Accent 5"/>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Colorful Shading Accent 6"/>
    <w:basedOn w:val="713"/>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Colorful List"/>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Colorful List Accent 1"/>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Colorful List Accent 2"/>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Colorful List Accent 3"/>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Colorful List Accent 4"/>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Colorful List Accent 5"/>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List Accent 6"/>
    <w:basedOn w:val="713"/>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Grid"/>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Grid Accent 1"/>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Grid Accent 2"/>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Grid Accent 3"/>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Grid Accent 4"/>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Grid Accent 5"/>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Grid Accent 6"/>
    <w:basedOn w:val="713"/>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2026-09-01T01:18:08Z</dcterms:modified>
  <cp:category/>
</cp:coreProperties>
</file>