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Yu Mincho" w:cs="Yu Mincho" w:eastAsia="Yu Mincho" w:hAnsi="Yu Mincho"/>
          <w:sz w:val="20"/>
          <w:szCs w:val="20"/>
        </w:rPr>
        <w:t xml:space="preserve">修士論文プロポーザル（M2・春）</w:t>
      </w:r>
    </w:p>
    <w:p>
      <w:pPr>
        <w:spacing w:after="40"/>
        <w:jc w:val="center"/>
      </w:pPr>
      <w:r>
        <w:rPr>
          <w:rFonts w:ascii="Yu Mincho" w:cs="Yu Mincho" w:eastAsia="Yu Mincho" w:hAnsi="Yu Mincho"/>
          <w:b/>
          <w:bCs/>
          <w:sz w:val="28"/>
          <w:szCs w:val="28"/>
        </w:rPr>
        <w:t xml:space="preserve">マルチエージェントによる議論グラフ統合型 議論支援</w:t>
      </w:r>
    </w:p>
    <w:p>
      <w:pPr>
        <w:spacing w:after="200"/>
        <w:jc w:val="center"/>
      </w:pPr>
      <w:r>
        <w:rPr>
          <w:rFonts w:ascii="Yu Mincho" w:cs="Yu Mincho" w:eastAsia="Yu Mincho" w:hAnsi="Yu Mincho"/>
          <w:sz w:val="20"/>
          <w:szCs w:val="20"/>
        </w:rPr>
        <w:t xml:space="preserve">松井 玲 ／ 伊藤研究室 ／ 2026年</w:t>
      </w:r>
    </w:p>
    <w:p>
      <w:pPr>
        <w:pStyle w:val="Heading1"/>
      </w:pPr>
      <w:r>
        <w:rPr>
          <w:rFonts w:ascii="Yu Mincho" w:cs="Yu Mincho" w:eastAsia="Yu Mincho" w:hAnsi="Yu Mincho"/>
        </w:rPr>
        <w:t xml:space="preserve">0. 修士論文の目次（章構成）</w:t>
      </w:r>
    </w:p>
    <w:p>
      <w:pPr>
        <w:spacing w:after="130" w:line="300"/>
        <w:jc w:val="both"/>
      </w:pPr>
      <w:r>
        <w:rPr>
          <w:rFonts w:ascii="Yu Mincho" w:cs="Yu Mincho" w:eastAsia="Yu Mincho" w:hAnsi="Yu Mincho"/>
          <w:sz w:val="21"/>
          <w:szCs w:val="21"/>
        </w:rPr>
        <w:t xml:space="preserve">本研究は以下の章構成でまとめる。</w:t>
      </w:r>
    </w:p>
    <w:p>
      <w:pPr>
        <w:pStyle w:val="ListParagraph"/>
        <w:numPr>
          <w:ilvl w:val="0"/>
          <w:numId w:val="2"/>
        </w:numPr>
        <w:spacing w:after="60" w:line="290"/>
      </w:pPr>
      <w:r>
        <w:rPr>
          <w:rFonts w:ascii="Yu Mincho" w:cs="Yu Mincho" w:eastAsia="Yu Mincho" w:hAnsi="Yu Mincho"/>
          <w:sz w:val="21"/>
          <w:szCs w:val="21"/>
        </w:rPr>
        <w:t xml:space="preserve">第1章 序論</w:t>
      </w:r>
    </w:p>
    <w:p>
      <w:pPr>
        <w:pStyle w:val="ListParagraph"/>
        <w:numPr>
          <w:ilvl w:val="0"/>
          <w:numId w:val="2"/>
        </w:numPr>
        <w:spacing w:after="60" w:line="290"/>
      </w:pPr>
      <w:r>
        <w:rPr>
          <w:rFonts w:ascii="Yu Mincho" w:cs="Yu Mincho" w:eastAsia="Yu Mincho" w:hAnsi="Yu Mincho"/>
          <w:sz w:val="21"/>
          <w:szCs w:val="21"/>
        </w:rPr>
        <w:t xml:space="preserve">第2章 関連研究</w:t>
      </w:r>
    </w:p>
    <w:p>
      <w:pPr>
        <w:pStyle w:val="ListParagraph"/>
        <w:numPr>
          <w:ilvl w:val="0"/>
          <w:numId w:val="2"/>
        </w:numPr>
        <w:spacing w:after="60" w:line="290"/>
      </w:pPr>
      <w:r>
        <w:rPr>
          <w:rFonts w:ascii="Yu Mincho" w:cs="Yu Mincho" w:eastAsia="Yu Mincho" w:hAnsi="Yu Mincho"/>
          <w:sz w:val="21"/>
          <w:szCs w:val="21"/>
        </w:rPr>
        <w:t xml:space="preserve">第3章 提案手法</w:t>
      </w:r>
    </w:p>
    <w:p>
      <w:pPr>
        <w:pStyle w:val="ListParagraph"/>
        <w:numPr>
          <w:ilvl w:val="0"/>
          <w:numId w:val="2"/>
        </w:numPr>
        <w:spacing w:after="60" w:line="290"/>
      </w:pPr>
      <w:r>
        <w:rPr>
          <w:rFonts w:ascii="Yu Mincho" w:cs="Yu Mincho" w:eastAsia="Yu Mincho" w:hAnsi="Yu Mincho"/>
          <w:sz w:val="21"/>
          <w:szCs w:val="21"/>
        </w:rPr>
        <w:t xml:space="preserve">第4章 実装</w:t>
      </w:r>
    </w:p>
    <w:p>
      <w:pPr>
        <w:pStyle w:val="ListParagraph"/>
        <w:numPr>
          <w:ilvl w:val="0"/>
          <w:numId w:val="2"/>
        </w:numPr>
        <w:spacing w:after="60" w:line="290"/>
      </w:pPr>
      <w:r>
        <w:rPr>
          <w:rFonts w:ascii="Yu Mincho" w:cs="Yu Mincho" w:eastAsia="Yu Mincho" w:hAnsi="Yu Mincho"/>
          <w:sz w:val="21"/>
          <w:szCs w:val="21"/>
        </w:rPr>
        <w:t xml:space="preserve">第5章 評価Ⅰ：シミュレーション評価</w:t>
      </w:r>
    </w:p>
    <w:p>
      <w:pPr>
        <w:pStyle w:val="ListParagraph"/>
        <w:numPr>
          <w:ilvl w:val="0"/>
          <w:numId w:val="2"/>
        </w:numPr>
        <w:spacing w:after="60" w:line="290"/>
      </w:pPr>
      <w:r>
        <w:rPr>
          <w:rFonts w:ascii="Yu Mincho" w:cs="Yu Mincho" w:eastAsia="Yu Mincho" w:hAnsi="Yu Mincho"/>
          <w:sz w:val="21"/>
          <w:szCs w:val="21"/>
        </w:rPr>
        <w:t xml:space="preserve">第6章 評価Ⅱ：対面参加者実験</w:t>
      </w:r>
    </w:p>
    <w:p>
      <w:pPr>
        <w:pStyle w:val="ListParagraph"/>
        <w:numPr>
          <w:ilvl w:val="0"/>
          <w:numId w:val="2"/>
        </w:numPr>
        <w:spacing w:after="60" w:line="290"/>
      </w:pPr>
      <w:r>
        <w:rPr>
          <w:rFonts w:ascii="Yu Mincho" w:cs="Yu Mincho" w:eastAsia="Yu Mincho" w:hAnsi="Yu Mincho"/>
          <w:sz w:val="21"/>
          <w:szCs w:val="21"/>
        </w:rPr>
        <w:t xml:space="preserve">第7章 考察</w:t>
      </w:r>
    </w:p>
    <w:p>
      <w:pPr>
        <w:pStyle w:val="ListParagraph"/>
        <w:numPr>
          <w:ilvl w:val="0"/>
          <w:numId w:val="2"/>
        </w:numPr>
        <w:spacing w:after="60" w:line="290"/>
      </w:pPr>
      <w:r>
        <w:rPr>
          <w:rFonts w:ascii="Yu Mincho" w:cs="Yu Mincho" w:eastAsia="Yu Mincho" w:hAnsi="Yu Mincho"/>
          <w:sz w:val="21"/>
          <w:szCs w:val="21"/>
        </w:rPr>
        <w:t xml:space="preserve">第8章 結論と今後の課題</w:t>
      </w:r>
    </w:p>
    <w:p>
      <w:pPr>
        <w:pStyle w:val="Heading1"/>
      </w:pPr>
      <w:r>
        <w:rPr>
          <w:rFonts w:ascii="Yu Mincho" w:cs="Yu Mincho" w:eastAsia="Yu Mincho" w:hAnsi="Yu Mincho"/>
        </w:rPr>
        <w:t xml:space="preserve">1. 目的</w:t>
      </w:r>
    </w:p>
    <w:p>
      <w:pPr>
        <w:pStyle w:val="Heading2"/>
      </w:pPr>
      <w:r>
        <w:rPr>
          <w:rFonts w:ascii="Yu Mincho" w:cs="Yu Mincho" w:eastAsia="Yu Mincho" w:hAnsi="Yu Mincho"/>
        </w:rPr>
        <w:t xml:space="preserve">概要</w:t>
      </w:r>
    </w:p>
    <w:p>
      <w:pPr>
        <w:spacing w:after="130" w:line="300"/>
        <w:ind w:firstLine="220"/>
        <w:jc w:val="both"/>
      </w:pPr>
      <w:r>
        <w:rPr>
          <w:rFonts w:ascii="Yu Mincho" w:cs="Yu Mincho" w:eastAsia="Yu Mincho" w:hAnsi="Yu Mincho"/>
          <w:sz w:val="21"/>
          <w:szCs w:val="21"/>
        </w:rPr>
        <w:t xml:space="preserve">本研究は、議論ログと外部知識を単一の論証グラフ（Argumentation Framework, AF）として統合的に保持・運用し、論証構造の連続性を担保するマルチエージェント議論支援システムの構築を目的とする。支持・攻撃という論証関係をグラフ構造として明示的に保持することで、確証バイアスや議論の極化を構造的に抑制し、合意形成の質を高める。対面議論を対象とし、音声認識・論証構造化・外部知識の統合・ファシリテーション介入を、五種類の専門エージェントの分業として実現する。</w:t>
      </w:r>
    </w:p>
    <w:p>
      <w:pPr>
        <w:pStyle w:val="Heading2"/>
      </w:pPr>
      <w:r>
        <w:rPr>
          <w:rFonts w:ascii="Yu Mincho" w:cs="Yu Mincho" w:eastAsia="Yu Mincho" w:hAnsi="Yu Mincho"/>
        </w:rPr>
        <w:t xml:space="preserve">① 研究の学術的背景</w:t>
      </w:r>
    </w:p>
    <w:p>
      <w:pPr>
        <w:spacing w:after="130" w:line="300"/>
        <w:ind w:firstLine="220"/>
        <w:jc w:val="both"/>
      </w:pPr>
      <w:r>
        <w:rPr>
          <w:rFonts w:ascii="Yu Mincho" w:cs="Yu Mincho" w:eastAsia="Yu Mincho" w:hAnsi="Yu Mincho"/>
          <w:sz w:val="21"/>
          <w:szCs w:val="21"/>
        </w:rPr>
        <w:t xml:space="preserve">議論における主張の妥当性は、それを支える根拠と攻撃する反論との関係の中で決まる。これを計算機上で扱う枠組みとして、Dung の抽象論証フレームワーク [1] は議論を「ノード＝論証、エッジ＝攻撃関係」の有向グラフとして定式化し、いずれの主張群が受容されるかを論じる基盤を与えた。議論ログからの論証抽出は argument mining として体系化されている [2]。一方、参加人数や情報量が増えるほど、この論証の全体像を人間が把握することは困難になる。</w:t>
      </w:r>
    </w:p>
    <w:p>
      <w:pPr>
        <w:spacing w:after="130" w:line="300"/>
        <w:ind w:firstLine="220"/>
        <w:jc w:val="both"/>
      </w:pPr>
      <w:r>
        <w:rPr>
          <w:rFonts w:ascii="Yu Mincho" w:cs="Yu Mincho" w:eastAsia="Yu Mincho" w:hAnsi="Yu Mincho"/>
          <w:sz w:val="21"/>
          <w:szCs w:val="21"/>
        </w:rPr>
        <w:t xml:space="preserve">近年、大規模言語モデル（LLM）の進化により、論証構造への整理、外部知識の検索拡張生成（RAG）[10]、ファシリテーション的介入の生成が可能となった。伊藤研究室の自動ファシリテーションエージェント（D-Agree 等）[5] をはじめ、Six Thinking Hats を LLM が並行して担う PTFA [6]、不在の視点を補完する The Empty Chair [7]、LLM 調停が人間を上回る共通基盤生成を示した Habermas Machine [8] などが報告されている。</w:t>
      </w:r>
    </w:p>
    <w:p>
      <w:pPr>
        <w:pStyle w:val="Heading2"/>
      </w:pPr>
      <w:r>
        <w:rPr>
          <w:rFonts w:ascii="Yu Mincho" w:cs="Yu Mincho" w:eastAsia="Yu Mincho" w:hAnsi="Yu Mincho"/>
        </w:rPr>
        <w:t xml:space="preserve">② 期間内に何をどこまで明らかにするのか</w:t>
      </w:r>
    </w:p>
    <w:p>
      <w:pPr>
        <w:spacing w:after="130" w:line="300"/>
        <w:ind w:firstLine="220"/>
        <w:jc w:val="both"/>
      </w:pPr>
      <w:r>
        <w:rPr>
          <w:rFonts w:ascii="Yu Mincho" w:cs="Yu Mincho" w:eastAsia="Yu Mincho" w:hAnsi="Yu Mincho"/>
          <w:sz w:val="21"/>
          <w:szCs w:val="21"/>
        </w:rPr>
        <w:t xml:space="preserve">本研究の期間内に、論証抽出エージェントと連結エージェントの実装（中核）、ドキュメント知識エージェントと Web 検索エージェントの統合、統合議論グラフとファシリテーション介入のリアルタイム動作を構築し、シミュレーション評価および対面参加者実験により次の三つのリサーチクエスチョンを検証する。なお、形式的な AF 意味論（受理可能性計算）はグラフ構造的検出（未反論ノードの検出等）の実用的範囲にとどめ、完全な意味論計算の導入は今後の課題と位置づける。</w:t>
      </w:r>
    </w:p>
    <w:p>
      <w:pPr>
        <w:pStyle w:val="ListParagraph"/>
        <w:numPr>
          <w:ilvl w:val="0"/>
          <w:numId w:val="2"/>
        </w:numPr>
        <w:spacing w:after="60" w:line="290"/>
      </w:pPr>
      <w:r>
        <w:rPr>
          <w:rFonts w:ascii="Yu Mincho" w:cs="Yu Mincho" w:eastAsia="Yu Mincho" w:hAnsi="Yu Mincho"/>
          <w:sz w:val="21"/>
          <w:szCs w:val="21"/>
        </w:rPr>
        <w:t xml:space="preserve">RQ1（議論の質）：統合議論グラフを活用する議論支援は、フラットRAGや支援なしと比べて合意形成の質にどう影響するか。</w:t>
      </w:r>
    </w:p>
    <w:p>
      <w:pPr>
        <w:pStyle w:val="ListParagraph"/>
        <w:numPr>
          <w:ilvl w:val="0"/>
          <w:numId w:val="2"/>
        </w:numPr>
        <w:spacing w:after="60" w:line="290"/>
      </w:pPr>
      <w:r>
        <w:rPr>
          <w:rFonts w:ascii="Yu Mincho" w:cs="Yu Mincho" w:eastAsia="Yu Mincho" w:hAnsi="Yu Mincho"/>
          <w:sz w:val="21"/>
          <w:szCs w:val="21"/>
        </w:rPr>
        <w:t xml:space="preserve">RQ2（反対意見の理解・確証バイアス）：賛成・反対の論証を構造的にバランスして提示することで、反対意見の理解度や過剰な自信は変わるか。</w:t>
      </w:r>
    </w:p>
    <w:p>
      <w:pPr>
        <w:pStyle w:val="ListParagraph"/>
        <w:numPr>
          <w:ilvl w:val="0"/>
          <w:numId w:val="2"/>
        </w:numPr>
        <w:spacing w:after="60" w:line="290"/>
      </w:pPr>
      <w:r>
        <w:rPr>
          <w:rFonts w:ascii="Yu Mincho" w:cs="Yu Mincho" w:eastAsia="Yu Mincho" w:hAnsi="Yu Mincho"/>
          <w:sz w:val="21"/>
          <w:szCs w:val="21"/>
        </w:rPr>
        <w:t xml:space="preserve">RQ3（介入の透明性）：介入根拠が論証構造として明示されることで、納得感や情報活用度にどう影響するか。</w:t>
      </w:r>
    </w:p>
    <w:p>
      <w:pPr>
        <w:pStyle w:val="Heading2"/>
      </w:pPr>
      <w:r>
        <w:rPr>
          <w:rFonts w:ascii="Yu Mincho" w:cs="Yu Mincho" w:eastAsia="Yu Mincho" w:hAnsi="Yu Mincho"/>
        </w:rPr>
        <w:t xml:space="preserve">③ 学術的な特色・独創性・予想される結果と意義</w:t>
      </w:r>
    </w:p>
    <w:p>
      <w:pPr>
        <w:spacing w:after="130" w:line="300"/>
        <w:ind w:firstLine="220"/>
        <w:jc w:val="both"/>
      </w:pPr>
      <w:r>
        <w:rPr>
          <w:rFonts w:ascii="Yu Mincho" w:cs="Yu Mincho" w:eastAsia="Yu Mincho" w:hAnsi="Yu Mincho"/>
          <w:sz w:val="21"/>
          <w:szCs w:val="21"/>
        </w:rPr>
        <w:t xml:space="preserve">本研究の独創性は、立場を持つ議論ログ側の主張（claim/premise）と、中立な事実として保持する外部知識（evidence）を、対象主張ごとの支持・攻撃エッジで連結し、一つの永続的な統合 AF として保持する点にある。外部知識は「主張」に分解せず中立な事実として扱い、その事実が各主張を支持するか攻撃するかという立場はノードではなくエッジに付与する（同じ事実が一方の主張を支持し他方を攻撃しうる）。関連研究は視点補完や調停を行うが、議論と知識を横断する統合的な論証グラフを持たない。また、類似度のみに依拠するフラット RAG に対し、提示情報が支持・攻撃・無関係のいずれであるかを区別する論証認識型の統合により、確証バイアスをプロンプト設計ではなくデータ構造として抑制する。さらに、介入の根拠がグラフ構造として説明可能であることは、介入の不透明性という課題への直接的な解となる。これにより、合意形成の質の向上と議論の極化抑制に対する構造的アプローチを与え、議論支援システムの社会実装上の信頼性を高めることが期待される。</w:t>
      </w:r>
    </w:p>
    <w:p>
      <w:pPr>
        <w:pStyle w:val="Heading1"/>
      </w:pPr>
      <w:r>
        <w:rPr>
          <w:rFonts w:ascii="Yu Mincho" w:cs="Yu Mincho" w:eastAsia="Yu Mincho" w:hAnsi="Yu Mincho"/>
        </w:rPr>
        <w:t xml:space="preserve">2. 研究方法・計画</w:t>
      </w:r>
    </w:p>
    <w:p>
      <w:pPr>
        <w:pStyle w:val="Heading2"/>
      </w:pPr>
      <w:r>
        <w:rPr>
          <w:rFonts w:ascii="Yu Mincho" w:cs="Yu Mincho" w:eastAsia="Yu Mincho" w:hAnsi="Yu Mincho"/>
        </w:rPr>
        <w:t xml:space="preserve">① 研究方法</w:t>
      </w:r>
    </w:p>
    <w:p>
      <w:pPr>
        <w:spacing w:after="130" w:line="300"/>
        <w:ind w:firstLine="220"/>
        <w:jc w:val="both"/>
      </w:pPr>
      <w:r>
        <w:rPr>
          <w:rFonts w:ascii="Yu Mincho" w:cs="Yu Mincho" w:eastAsia="Yu Mincho" w:hAnsi="Yu Mincho"/>
          <w:sz w:val="21"/>
          <w:szCs w:val="21"/>
        </w:rPr>
        <w:t xml:space="preserve">議論ログ側は立場を持つ主張（claim/premise）として、外部知識側は中立な事実（evidence）として構造化し、事実が各主張を支持・攻撃するかを対象主張ごとのエッジで型付けして単一の統合議論グラフとして保持する。この構築・運用を、論証抽出・ドキュメント知識・Web 検索・連結・ファシリテーションの五エージェントの分業として実現し、発言や情報源が入るたびにグラフをリアルタイムに更新する。論証抽出エージェントは発話を立場を持つ claim/premise に分解し、ドキュメント知識エージェントは事前資料を中立な事実（evidence）ノードとして永続化（深い知識）、Web 検索エージェントは新論点をリアルタイム検索して事実（evidence）ノード化（広い知識）する。連結エージェントは事実と各主張の間に対象主張ごとの支持・攻撃エッジ（無関係はエッジなし）を推定して両者を一体化し、ファシリテーションエージェントが統合グラフ全体を読み、いつ・誰に・何を提示するかを判断する。グラフ自体は内部表現に留め、個別化通知・区切りの自然言語要約・振り返りのグラフ可視化という用途別の提示で情報を届ける。</w:t>
      </w:r>
    </w:p>
    <w:p>
      <w:pPr>
        <w:spacing w:after="130" w:line="300"/>
        <w:ind w:firstLine="220"/>
        <w:jc w:val="both"/>
      </w:pPr>
      <w:r>
        <w:rPr>
          <w:rFonts w:ascii="Yu Mincho" w:cs="Yu Mincho" w:eastAsia="Yu Mincho" w:hAnsi="Yu Mincho"/>
          <w:sz w:val="21"/>
          <w:szCs w:val="21"/>
        </w:rPr>
        <w:t xml:space="preserve">評価はシミュレーションと対面実験の両輪で行う。シミュレーション評価では LLM 多人数エージェント議論を多数回実行し、三条件×ablation で比較して再現性と試行回数を確保する。対面参加者実験では五〜八名×六十分×政策論題を被験者内デザイン＋カウンターバランスで実施する。比較条件は (i) 情報提供なし、(ii) フラット RAG、(iii) 提案フル構成の三つとし、主観指標（合意満足度・納得感・情報活用度）と客観指標（合意到達時間・発話数・反対意見への応答率）を用いる。</w:t>
      </w:r>
    </w:p>
    <w:p>
      <w:pPr>
        <w:pStyle w:val="Heading2"/>
      </w:pPr>
      <w:r>
        <w:rPr>
          <w:rFonts w:ascii="Yu Mincho" w:cs="Yu Mincho" w:eastAsia="Yu Mincho" w:hAnsi="Yu Mincho"/>
        </w:rPr>
        <w:t xml:space="preserve">② 研究計画</w:t>
      </w:r>
    </w:p>
    <w:p>
      <w:pPr>
        <w:spacing w:after="130" w:line="300"/>
        <w:jc w:val="both"/>
      </w:pPr>
      <w:r>
        <w:rPr>
          <w:rFonts w:ascii="Yu Mincho" w:cs="Yu Mincho" w:eastAsia="Yu Mincho" w:hAnsi="Yu Mincho"/>
          <w:sz w:val="21"/>
          <w:szCs w:val="21"/>
        </w:rPr>
        <w:t xml:space="preserve">実施計画の概略を以下に示す。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000000" w:sz="3"/>
              <w:left w:val="single" w:color="000000" w:sz="3"/>
              <w:bottom w:val="single" w:color="000000" w:sz="3"/>
              <w:right w:val="single" w:color="000000" w:sz="3"/>
            </w:tcBorders>
            <w:tcMar>
              <w:top w:type="dxa" w:w="50"/>
              <w:left w:type="dxa" w:w="110"/>
              <w:bottom w:type="dxa" w:w="50"/>
              <w:right w:type="dxa" w:w="110"/>
            </w:tcMar>
          </w:tcPr>
          <w:p>
            <w:pPr>
              <w:jc w:val="left"/>
            </w:pPr>
            <w:r>
              <w:rPr>
                <w:rFonts w:ascii="Yu Mincho" w:cs="Yu Mincho" w:eastAsia="Yu Mincho" w:hAnsi="Yu Mincho"/>
                <w:b/>
                <w:bCs/>
                <w:sz w:val="20"/>
                <w:szCs w:val="20"/>
              </w:rPr>
              <w:t xml:space="preserve">時期</w:t>
            </w:r>
          </w:p>
        </w:tc>
        <w:tc>
          <w:tcPr>
            <w:tcW w:type="dxa" w:w="6626"/>
            <w:tcBorders>
              <w:top w:val="single" w:color="000000" w:sz="3"/>
              <w:left w:val="single" w:color="000000" w:sz="3"/>
              <w:bottom w:val="single" w:color="000000" w:sz="3"/>
              <w:right w:val="single" w:color="000000" w:sz="3"/>
            </w:tcBorders>
            <w:tcMar>
              <w:top w:type="dxa" w:w="50"/>
              <w:left w:type="dxa" w:w="110"/>
              <w:bottom w:type="dxa" w:w="50"/>
              <w:right w:type="dxa" w:w="110"/>
            </w:tcMar>
          </w:tcPr>
          <w:p>
            <w:pPr>
              <w:jc w:val="left"/>
            </w:pPr>
            <w:r>
              <w:rPr>
                <w:rFonts w:ascii="Yu Mincho" w:cs="Yu Mincho" w:eastAsia="Yu Mincho" w:hAnsi="Yu Mincho"/>
                <w:b/>
                <w:bCs/>
                <w:sz w:val="20"/>
                <w:szCs w:val="20"/>
              </w:rPr>
              <w:t xml:space="preserve">実施内容</w:t>
            </w:r>
          </w:p>
        </w:tc>
      </w:tr>
      <w:tr>
        <w:tc>
          <w:tcPr>
            <w:tcW w:type="dxa" w:w="2400"/>
            <w:tcBorders>
              <w:top w:val="single" w:color="000000" w:sz="3"/>
              <w:left w:val="single" w:color="000000" w:sz="3"/>
              <w:bottom w:val="single" w:color="000000" w:sz="3"/>
              <w:right w:val="single" w:color="000000" w:sz="3"/>
            </w:tcBorders>
            <w:tcMar>
              <w:top w:type="dxa" w:w="50"/>
              <w:left w:type="dxa" w:w="110"/>
              <w:bottom w:type="dxa" w:w="50"/>
              <w:right w:type="dxa" w:w="110"/>
            </w:tcMar>
          </w:tcPr>
          <w:p>
            <w:pPr>
              <w:jc w:val="left"/>
            </w:pPr>
            <w:r>
              <w:rPr>
                <w:rFonts w:ascii="Yu Mincho" w:cs="Yu Mincho" w:eastAsia="Yu Mincho" w:hAnsi="Yu Mincho"/>
                <w:b w:val="false"/>
                <w:bCs w:val="false"/>
                <w:sz w:val="20"/>
                <w:szCs w:val="20"/>
              </w:rPr>
              <w:t xml:space="preserve">2026年6月</w:t>
            </w:r>
          </w:p>
        </w:tc>
        <w:tc>
          <w:tcPr>
            <w:tcW w:type="dxa" w:w="6626"/>
            <w:tcBorders>
              <w:top w:val="single" w:color="000000" w:sz="3"/>
              <w:left w:val="single" w:color="000000" w:sz="3"/>
              <w:bottom w:val="single" w:color="000000" w:sz="3"/>
              <w:right w:val="single" w:color="000000" w:sz="3"/>
            </w:tcBorders>
            <w:tcMar>
              <w:top w:type="dxa" w:w="50"/>
              <w:left w:type="dxa" w:w="110"/>
              <w:bottom w:type="dxa" w:w="50"/>
              <w:right w:type="dxa" w:w="110"/>
            </w:tcMar>
          </w:tcPr>
          <w:p>
            <w:pPr>
              <w:jc w:val="left"/>
            </w:pPr>
            <w:r>
              <w:rPr>
                <w:rFonts w:ascii="Yu Mincho" w:cs="Yu Mincho" w:eastAsia="Yu Mincho" w:hAnsi="Yu Mincho"/>
                <w:b w:val="false"/>
                <w:bCs w:val="false"/>
                <w:sz w:val="20"/>
                <w:szCs w:val="20"/>
              </w:rPr>
              <w:t xml:space="preserve">論証抽出・連結エージェントの実装</w:t>
            </w:r>
          </w:p>
        </w:tc>
      </w:tr>
      <w:tr>
        <w:tc>
          <w:tcPr>
            <w:tcW w:type="dxa" w:w="2400"/>
            <w:tcBorders>
              <w:top w:val="single" w:color="000000" w:sz="3"/>
              <w:left w:val="single" w:color="000000" w:sz="3"/>
              <w:bottom w:val="single" w:color="000000" w:sz="3"/>
              <w:right w:val="single" w:color="000000" w:sz="3"/>
            </w:tcBorders>
            <w:tcMar>
              <w:top w:type="dxa" w:w="50"/>
              <w:left w:type="dxa" w:w="110"/>
              <w:bottom w:type="dxa" w:w="50"/>
              <w:right w:type="dxa" w:w="110"/>
            </w:tcMar>
          </w:tcPr>
          <w:p>
            <w:pPr>
              <w:jc w:val="left"/>
            </w:pPr>
            <w:r>
              <w:rPr>
                <w:rFonts w:ascii="Yu Mincho" w:cs="Yu Mincho" w:eastAsia="Yu Mincho" w:hAnsi="Yu Mincho"/>
                <w:b w:val="false"/>
                <w:bCs w:val="false"/>
                <w:sz w:val="20"/>
                <w:szCs w:val="20"/>
              </w:rPr>
              <w:t xml:space="preserve">2026年7〜8月</w:t>
            </w:r>
          </w:p>
        </w:tc>
        <w:tc>
          <w:tcPr>
            <w:tcW w:type="dxa" w:w="6626"/>
            <w:tcBorders>
              <w:top w:val="single" w:color="000000" w:sz="3"/>
              <w:left w:val="single" w:color="000000" w:sz="3"/>
              <w:bottom w:val="single" w:color="000000" w:sz="3"/>
              <w:right w:val="single" w:color="000000" w:sz="3"/>
            </w:tcBorders>
            <w:tcMar>
              <w:top w:type="dxa" w:w="50"/>
              <w:left w:type="dxa" w:w="110"/>
              <w:bottom w:type="dxa" w:w="50"/>
              <w:right w:type="dxa" w:w="110"/>
            </w:tcMar>
          </w:tcPr>
          <w:p>
            <w:pPr>
              <w:jc w:val="left"/>
            </w:pPr>
            <w:r>
              <w:rPr>
                <w:rFonts w:ascii="Yu Mincho" w:cs="Yu Mincho" w:eastAsia="Yu Mincho" w:hAnsi="Yu Mincho"/>
                <w:b w:val="false"/>
                <w:bCs w:val="false"/>
                <w:sz w:val="20"/>
                <w:szCs w:val="20"/>
              </w:rPr>
              <w:t xml:space="preserve">ドキュメント知識／Web検索エージェントの統合・統合グラフの完成</w:t>
            </w:r>
          </w:p>
        </w:tc>
      </w:tr>
      <w:tr>
        <w:tc>
          <w:tcPr>
            <w:tcW w:type="dxa" w:w="2400"/>
            <w:tcBorders>
              <w:top w:val="single" w:color="000000" w:sz="3"/>
              <w:left w:val="single" w:color="000000" w:sz="3"/>
              <w:bottom w:val="single" w:color="000000" w:sz="3"/>
              <w:right w:val="single" w:color="000000" w:sz="3"/>
            </w:tcBorders>
            <w:tcMar>
              <w:top w:type="dxa" w:w="50"/>
              <w:left w:type="dxa" w:w="110"/>
              <w:bottom w:type="dxa" w:w="50"/>
              <w:right w:type="dxa" w:w="110"/>
            </w:tcMar>
          </w:tcPr>
          <w:p>
            <w:pPr>
              <w:jc w:val="left"/>
            </w:pPr>
            <w:r>
              <w:rPr>
                <w:rFonts w:ascii="Yu Mincho" w:cs="Yu Mincho" w:eastAsia="Yu Mincho" w:hAnsi="Yu Mincho"/>
                <w:b w:val="false"/>
                <w:bCs w:val="false"/>
                <w:sz w:val="20"/>
                <w:szCs w:val="20"/>
              </w:rPr>
              <w:t xml:space="preserve">2026年9〜10月</w:t>
            </w:r>
          </w:p>
        </w:tc>
        <w:tc>
          <w:tcPr>
            <w:tcW w:type="dxa" w:w="6626"/>
            <w:tcBorders>
              <w:top w:val="single" w:color="000000" w:sz="3"/>
              <w:left w:val="single" w:color="000000" w:sz="3"/>
              <w:bottom w:val="single" w:color="000000" w:sz="3"/>
              <w:right w:val="single" w:color="000000" w:sz="3"/>
            </w:tcBorders>
            <w:tcMar>
              <w:top w:type="dxa" w:w="50"/>
              <w:left w:type="dxa" w:w="110"/>
              <w:bottom w:type="dxa" w:w="50"/>
              <w:right w:type="dxa" w:w="110"/>
            </w:tcMar>
          </w:tcPr>
          <w:p>
            <w:pPr>
              <w:jc w:val="left"/>
            </w:pPr>
            <w:r>
              <w:rPr>
                <w:rFonts w:ascii="Yu Mincho" w:cs="Yu Mincho" w:eastAsia="Yu Mincho" w:hAnsi="Yu Mincho"/>
                <w:b w:val="false"/>
                <w:bCs w:val="false"/>
                <w:sz w:val="20"/>
                <w:szCs w:val="20"/>
              </w:rPr>
              <w:t xml:space="preserve">評価Ⅰ：シミュレーション評価</w:t>
            </w:r>
          </w:p>
        </w:tc>
      </w:tr>
      <w:tr>
        <w:tc>
          <w:tcPr>
            <w:tcW w:type="dxa" w:w="2400"/>
            <w:tcBorders>
              <w:top w:val="single" w:color="000000" w:sz="3"/>
              <w:left w:val="single" w:color="000000" w:sz="3"/>
              <w:bottom w:val="single" w:color="000000" w:sz="3"/>
              <w:right w:val="single" w:color="000000" w:sz="3"/>
            </w:tcBorders>
            <w:tcMar>
              <w:top w:type="dxa" w:w="50"/>
              <w:left w:type="dxa" w:w="110"/>
              <w:bottom w:type="dxa" w:w="50"/>
              <w:right w:type="dxa" w:w="110"/>
            </w:tcMar>
          </w:tcPr>
          <w:p>
            <w:pPr>
              <w:jc w:val="left"/>
            </w:pPr>
            <w:r>
              <w:rPr>
                <w:rFonts w:ascii="Yu Mincho" w:cs="Yu Mincho" w:eastAsia="Yu Mincho" w:hAnsi="Yu Mincho"/>
                <w:b w:val="false"/>
                <w:bCs w:val="false"/>
                <w:sz w:val="20"/>
                <w:szCs w:val="20"/>
              </w:rPr>
              <w:t xml:space="preserve">2026年11〜12月</w:t>
            </w:r>
          </w:p>
        </w:tc>
        <w:tc>
          <w:tcPr>
            <w:tcW w:type="dxa" w:w="6626"/>
            <w:tcBorders>
              <w:top w:val="single" w:color="000000" w:sz="3"/>
              <w:left w:val="single" w:color="000000" w:sz="3"/>
              <w:bottom w:val="single" w:color="000000" w:sz="3"/>
              <w:right w:val="single" w:color="000000" w:sz="3"/>
            </w:tcBorders>
            <w:tcMar>
              <w:top w:type="dxa" w:w="50"/>
              <w:left w:type="dxa" w:w="110"/>
              <w:bottom w:type="dxa" w:w="50"/>
              <w:right w:type="dxa" w:w="110"/>
            </w:tcMar>
          </w:tcPr>
          <w:p>
            <w:pPr>
              <w:jc w:val="left"/>
            </w:pPr>
            <w:r>
              <w:rPr>
                <w:rFonts w:ascii="Yu Mincho" w:cs="Yu Mincho" w:eastAsia="Yu Mincho" w:hAnsi="Yu Mincho"/>
                <w:b w:val="false"/>
                <w:bCs w:val="false"/>
                <w:sz w:val="20"/>
                <w:szCs w:val="20"/>
              </w:rPr>
              <w:t xml:space="preserve">評価Ⅱ：対面参加者実験</w:t>
            </w:r>
          </w:p>
        </w:tc>
      </w:tr>
      <w:tr>
        <w:tc>
          <w:tcPr>
            <w:tcW w:type="dxa" w:w="2400"/>
            <w:tcBorders>
              <w:top w:val="single" w:color="000000" w:sz="3"/>
              <w:left w:val="single" w:color="000000" w:sz="3"/>
              <w:bottom w:val="single" w:color="000000" w:sz="3"/>
              <w:right w:val="single" w:color="000000" w:sz="3"/>
            </w:tcBorders>
            <w:tcMar>
              <w:top w:type="dxa" w:w="50"/>
              <w:left w:type="dxa" w:w="110"/>
              <w:bottom w:type="dxa" w:w="50"/>
              <w:right w:type="dxa" w:w="110"/>
            </w:tcMar>
          </w:tcPr>
          <w:p>
            <w:pPr>
              <w:jc w:val="left"/>
            </w:pPr>
            <w:r>
              <w:rPr>
                <w:rFonts w:ascii="Yu Mincho" w:cs="Yu Mincho" w:eastAsia="Yu Mincho" w:hAnsi="Yu Mincho"/>
                <w:b w:val="false"/>
                <w:bCs w:val="false"/>
                <w:sz w:val="20"/>
                <w:szCs w:val="20"/>
              </w:rPr>
              <w:t xml:space="preserve">2027年1月</w:t>
            </w:r>
          </w:p>
        </w:tc>
        <w:tc>
          <w:tcPr>
            <w:tcW w:type="dxa" w:w="6626"/>
            <w:tcBorders>
              <w:top w:val="single" w:color="000000" w:sz="3"/>
              <w:left w:val="single" w:color="000000" w:sz="3"/>
              <w:bottom w:val="single" w:color="000000" w:sz="3"/>
              <w:right w:val="single" w:color="000000" w:sz="3"/>
            </w:tcBorders>
            <w:tcMar>
              <w:top w:type="dxa" w:w="50"/>
              <w:left w:type="dxa" w:w="110"/>
              <w:bottom w:type="dxa" w:w="50"/>
              <w:right w:type="dxa" w:w="110"/>
            </w:tcMar>
          </w:tcPr>
          <w:p>
            <w:pPr>
              <w:jc w:val="left"/>
            </w:pPr>
            <w:r>
              <w:rPr>
                <w:rFonts w:ascii="Yu Mincho" w:cs="Yu Mincho" w:eastAsia="Yu Mincho" w:hAnsi="Yu Mincho"/>
                <w:b w:val="false"/>
                <w:bCs w:val="false"/>
                <w:sz w:val="20"/>
                <w:szCs w:val="20"/>
              </w:rPr>
              <w:t xml:space="preserve">解析・修士論文執筆</w:t>
            </w:r>
          </w:p>
        </w:tc>
      </w:tr>
      <w:tr>
        <w:tc>
          <w:tcPr>
            <w:tcW w:type="dxa" w:w="2400"/>
            <w:tcBorders>
              <w:top w:val="single" w:color="000000" w:sz="3"/>
              <w:left w:val="single" w:color="000000" w:sz="3"/>
              <w:bottom w:val="single" w:color="000000" w:sz="3"/>
              <w:right w:val="single" w:color="000000" w:sz="3"/>
            </w:tcBorders>
            <w:tcMar>
              <w:top w:type="dxa" w:w="50"/>
              <w:left w:type="dxa" w:w="110"/>
              <w:bottom w:type="dxa" w:w="50"/>
              <w:right w:type="dxa" w:w="110"/>
            </w:tcMar>
          </w:tcPr>
          <w:p>
            <w:pPr>
              <w:jc w:val="left"/>
            </w:pPr>
            <w:r>
              <w:rPr>
                <w:rFonts w:ascii="Yu Mincho" w:cs="Yu Mincho" w:eastAsia="Yu Mincho" w:hAnsi="Yu Mincho"/>
                <w:b w:val="false"/>
                <w:bCs w:val="false"/>
                <w:sz w:val="20"/>
                <w:szCs w:val="20"/>
              </w:rPr>
              <w:t xml:space="preserve">2027年2月</w:t>
            </w:r>
          </w:p>
        </w:tc>
        <w:tc>
          <w:tcPr>
            <w:tcW w:type="dxa" w:w="6626"/>
            <w:tcBorders>
              <w:top w:val="single" w:color="000000" w:sz="3"/>
              <w:left w:val="single" w:color="000000" w:sz="3"/>
              <w:bottom w:val="single" w:color="000000" w:sz="3"/>
              <w:right w:val="single" w:color="000000" w:sz="3"/>
            </w:tcBorders>
            <w:tcMar>
              <w:top w:type="dxa" w:w="50"/>
              <w:left w:type="dxa" w:w="110"/>
              <w:bottom w:type="dxa" w:w="50"/>
              <w:right w:type="dxa" w:w="110"/>
            </w:tcMar>
          </w:tcPr>
          <w:p>
            <w:pPr>
              <w:jc w:val="left"/>
            </w:pPr>
            <w:r>
              <w:rPr>
                <w:rFonts w:ascii="Yu Mincho" w:cs="Yu Mincho" w:eastAsia="Yu Mincho" w:hAnsi="Yu Mincho"/>
                <w:b w:val="false"/>
                <w:bCs w:val="false"/>
                <w:sz w:val="20"/>
                <w:szCs w:val="20"/>
              </w:rPr>
              <w:t xml:space="preserve">修士論文提出</w:t>
            </w:r>
          </w:p>
        </w:tc>
      </w:tr>
    </w:tbl>
    <w:p>
      <w:pPr>
        <w:spacing w:after="60"/>
      </w:pPr>
    </w:p>
    <w:p>
      <w:pPr>
        <w:pStyle w:val="Heading1"/>
      </w:pPr>
      <w:r>
        <w:rPr>
          <w:rFonts w:ascii="Yu Mincho" w:cs="Yu Mincho" w:eastAsia="Yu Mincho" w:hAnsi="Yu Mincho"/>
        </w:rPr>
        <w:t xml:space="preserve">3. 必要と思われる研究経費</w:t>
      </w:r>
    </w:p>
    <w:p>
      <w:pPr>
        <w:spacing w:after="130" w:line="300"/>
        <w:ind w:firstLine="220"/>
        <w:jc w:val="both"/>
      </w:pPr>
      <w:r>
        <w:rPr>
          <w:rFonts w:ascii="Yu Mincho" w:cs="Yu Mincho" w:eastAsia="Yu Mincho" w:hAnsi="Yu Mincho"/>
          <w:sz w:val="21"/>
          <w:szCs w:val="21"/>
        </w:rPr>
        <w:t xml:space="preserve">本研究の評価の中心は LLM マルチエージェント・シミュレーション（多数回×三条件×ablation）であり、相応の試行回数を要するため、主たる経費は LLM API の利用料（消耗品費、約二十万円を見込む。試行回数・モデル選定により調整）である。設備は研究室の既存リソース（GPU ワークステーション・収録機材）を利用するため新規購入を要しない。国際会議発表に伴う旅費、および対面実験の運用に要する被験者謝金・文字起こし等のその他経費は、進捗に応じて別途計上する。以上より、経費は LLM API 利用料を中心とした最小限の構成であり、研究目的に照らして妥当である。</w:t>
      </w:r>
    </w:p>
    <w:p>
      <w:pPr>
        <w:pStyle w:val="Heading1"/>
      </w:pPr>
      <w:r>
        <w:rPr>
          <w:rFonts w:ascii="Yu Mincho" w:cs="Yu Mincho" w:eastAsia="Yu Mincho" w:hAnsi="Yu Mincho"/>
        </w:rPr>
        <w:t xml:space="preserve">4. 発表論文（予定）</w:t>
      </w:r>
    </w:p>
    <w:p>
      <w:pPr>
        <w:spacing w:after="130" w:line="300"/>
        <w:ind w:firstLine="220"/>
        <w:jc w:val="both"/>
      </w:pPr>
      <w:r>
        <w:rPr>
          <w:rFonts w:ascii="Yu Mincho" w:cs="Yu Mincho" w:eastAsia="Yu Mincho" w:hAnsi="Yu Mincho"/>
          <w:sz w:val="21"/>
          <w:szCs w:val="21"/>
        </w:rPr>
        <w:t xml:space="preserve">国際会議論文一本の発表を目標とする。第一候補は PRICAI 2026 である。PRICAI は査読付き会議（LNAI）であり、関連研究の PTFA [6] も同会議で発表されているなど分野親和性が高く、研究室の実績とも整合する。論証フレームワーク寄りに内容を振る場合は計算論的議論の専門会議である COMMA を、対面参加者実験を前面化する場合は HCOMP を代替候補とする。投稿内容は提案手法とシミュレーション評価の結果を中心に構成し、対面実験の知見が揃い次第、修士論文の主結果として拡張する。</w:t>
      </w:r>
    </w:p>
    <w:p>
      <w:pPr>
        <w:pStyle w:val="Heading1"/>
      </w:pPr>
      <w:r>
        <w:rPr>
          <w:rFonts w:ascii="Yu Mincho" w:cs="Yu Mincho" w:eastAsia="Yu Mincho" w:hAnsi="Yu Mincho"/>
        </w:rPr>
        <w:t xml:space="preserve">5. 参考文献</w:t>
      </w:r>
    </w:p>
    <w:p>
      <w:pPr>
        <w:pStyle w:val="ListParagraph"/>
        <w:numPr>
          <w:ilvl w:val="0"/>
          <w:numId w:val="3"/>
        </w:numPr>
        <w:spacing w:after="50" w:line="276"/>
      </w:pPr>
      <w:r>
        <w:rPr>
          <w:rFonts w:ascii="Yu Mincho" w:cs="Yu Mincho" w:eastAsia="Yu Mincho" w:hAnsi="Yu Mincho"/>
          <w:sz w:val="20"/>
          <w:szCs w:val="20"/>
        </w:rPr>
        <w:t xml:space="preserve">Dung, P. M. (1995). On the Acceptability of Arguments and its Fundamental Role in Nonmonotonic Reasoning, Logic Programming, and n-Person Games. Artificial Intelligence, 77(2), 321–357.</w:t>
      </w:r>
    </w:p>
    <w:p>
      <w:pPr>
        <w:pStyle w:val="ListParagraph"/>
        <w:numPr>
          <w:ilvl w:val="0"/>
          <w:numId w:val="3"/>
        </w:numPr>
        <w:spacing w:after="50" w:line="276"/>
      </w:pPr>
      <w:r>
        <w:rPr>
          <w:rFonts w:ascii="Yu Mincho" w:cs="Yu Mincho" w:eastAsia="Yu Mincho" w:hAnsi="Yu Mincho"/>
          <w:sz w:val="20"/>
          <w:szCs w:val="20"/>
        </w:rPr>
        <w:t xml:space="preserve">Lawrence, J., &amp; Reed, C. (2019). Argument Mining: A Survey. Computational Linguistics, 45(4), 765–818.</w:t>
      </w:r>
    </w:p>
    <w:p>
      <w:pPr>
        <w:pStyle w:val="ListParagraph"/>
        <w:numPr>
          <w:ilvl w:val="0"/>
          <w:numId w:val="3"/>
        </w:numPr>
        <w:spacing w:after="50" w:line="276"/>
      </w:pPr>
      <w:r>
        <w:rPr>
          <w:rFonts w:ascii="Yu Mincho" w:cs="Yu Mincho" w:eastAsia="Yu Mincho" w:hAnsi="Yu Mincho"/>
          <w:sz w:val="20"/>
          <w:szCs w:val="20"/>
        </w:rPr>
        <w:t xml:space="preserve">Baroni, P., Caminada, M., &amp; Giacomin, M. (2011). An Introduction to Argumentation Semantics. The Knowledge Engineering Review, 26(4), 365–410.</w:t>
      </w:r>
    </w:p>
    <w:p>
      <w:pPr>
        <w:pStyle w:val="ListParagraph"/>
        <w:numPr>
          <w:ilvl w:val="0"/>
          <w:numId w:val="3"/>
        </w:numPr>
        <w:spacing w:after="50" w:line="276"/>
      </w:pPr>
      <w:r>
        <w:rPr>
          <w:rFonts w:ascii="Yu Mincho" w:cs="Yu Mincho" w:eastAsia="Yu Mincho" w:hAnsi="Yu Mincho"/>
          <w:sz w:val="20"/>
          <w:szCs w:val="20"/>
        </w:rPr>
        <w:t xml:space="preserve">Modgil, S., &amp; Prakken, H. (2014). The ASPIC+ Framework for Structured Argumentation: A Tutorial. Argument &amp; Computation, 5(1), 31–62.</w:t>
      </w:r>
    </w:p>
    <w:p>
      <w:pPr>
        <w:pStyle w:val="ListParagraph"/>
        <w:numPr>
          <w:ilvl w:val="0"/>
          <w:numId w:val="3"/>
        </w:numPr>
        <w:spacing w:after="50" w:line="276"/>
      </w:pPr>
      <w:r>
        <w:rPr>
          <w:rFonts w:ascii="Yu Mincho" w:cs="Yu Mincho" w:eastAsia="Yu Mincho" w:hAnsi="Yu Mincho"/>
          <w:sz w:val="20"/>
          <w:szCs w:val="20"/>
        </w:rPr>
        <w:t xml:space="preserve">Ito, T., et al. (2022). An Agent that Facilitates Crowd Discussion: A Crowd Discussion Support System based on an Automated Facilitation Agent. Group Decision and Negotiation, 31, 621–647.</w:t>
      </w:r>
    </w:p>
    <w:p>
      <w:pPr>
        <w:pStyle w:val="ListParagraph"/>
        <w:numPr>
          <w:ilvl w:val="0"/>
          <w:numId w:val="3"/>
        </w:numPr>
        <w:spacing w:after="50" w:line="276"/>
      </w:pPr>
      <w:r>
        <w:rPr>
          <w:rFonts w:ascii="Yu Mincho" w:cs="Yu Mincho" w:eastAsia="Yu Mincho" w:hAnsi="Yu Mincho"/>
          <w:sz w:val="20"/>
          <w:szCs w:val="20"/>
        </w:rPr>
        <w:t xml:space="preserve">Gu, W., Li, Z., Buermann, J., et al. (2025). PTFA: An LLM-Based Agent that Facilitates Online Consensus Building Through Parallel Thinking. PRICAI 2025 (LNAI). arXiv:2503.12499.</w:t>
      </w:r>
    </w:p>
    <w:p>
      <w:pPr>
        <w:pStyle w:val="ListParagraph"/>
        <w:numPr>
          <w:ilvl w:val="0"/>
          <w:numId w:val="3"/>
        </w:numPr>
        <w:spacing w:after="50" w:line="276"/>
      </w:pPr>
      <w:r>
        <w:rPr>
          <w:rFonts w:ascii="Yu Mincho" w:cs="Yu Mincho" w:eastAsia="Yu Mincho" w:hAnsi="Yu Mincho"/>
          <w:sz w:val="20"/>
          <w:szCs w:val="20"/>
        </w:rPr>
        <w:t xml:space="preserve">Fulay, S., &amp; Roy, D. (2025). The Empty Chair: Using LLMs to Raise Missing Perspectives in Policy Deliberations. ACM CSCW 2025. arXiv:2503.13812.</w:t>
      </w:r>
    </w:p>
    <w:p>
      <w:pPr>
        <w:pStyle w:val="ListParagraph"/>
        <w:numPr>
          <w:ilvl w:val="0"/>
          <w:numId w:val="3"/>
        </w:numPr>
        <w:spacing w:after="50" w:line="276"/>
      </w:pPr>
      <w:r>
        <w:rPr>
          <w:rFonts w:ascii="Yu Mincho" w:cs="Yu Mincho" w:eastAsia="Yu Mincho" w:hAnsi="Yu Mincho"/>
          <w:sz w:val="20"/>
          <w:szCs w:val="20"/>
        </w:rPr>
        <w:t xml:space="preserve">Tessler, M. H., Bakker, M. A., Jarrett, D., et al. (2024). AI can help humans find common ground in democratic deliberation. Science, 386.</w:t>
      </w:r>
    </w:p>
    <w:p>
      <w:pPr>
        <w:pStyle w:val="ListParagraph"/>
        <w:numPr>
          <w:ilvl w:val="0"/>
          <w:numId w:val="3"/>
        </w:numPr>
        <w:spacing w:after="50" w:line="276"/>
      </w:pPr>
      <w:r>
        <w:rPr>
          <w:rFonts w:ascii="Yu Mincho" w:cs="Yu Mincho" w:eastAsia="Yu Mincho" w:hAnsi="Yu Mincho"/>
          <w:sz w:val="20"/>
          <w:szCs w:val="20"/>
        </w:rPr>
        <w:t xml:space="preserve">Lewis, P., Perez, E., Piktus, A., et al. (2020). Retrieval-Augmented Generation for Knowledge-Intensive NLP Tasks. NeurIPS 2020. arXiv:2005.11401.</w:t>
      </w:r>
    </w:p>
    <w:p>
      <w:pPr>
        <w:pStyle w:val="ListParagraph"/>
        <w:numPr>
          <w:ilvl w:val="0"/>
          <w:numId w:val="3"/>
        </w:numPr>
        <w:spacing w:after="50" w:line="276"/>
      </w:pPr>
      <w:r>
        <w:rPr>
          <w:rFonts w:ascii="Yu Mincho" w:cs="Yu Mincho" w:eastAsia="Yu Mincho" w:hAnsi="Yu Mincho"/>
          <w:sz w:val="20"/>
          <w:szCs w:val="20"/>
        </w:rPr>
        <w:t xml:space="preserve">Sharma, M., Tong, M., Korbak, T., et al. (2024). Towards Understanding Sycophancy in Language Models. ICLR 2024. arXiv:2310.13548.</w:t>
      </w:r>
    </w:p>
    <w:p>
      <w:pPr>
        <w:pStyle w:val="ListParagraph"/>
        <w:numPr>
          <w:ilvl w:val="0"/>
          <w:numId w:val="3"/>
        </w:numPr>
        <w:spacing w:after="50" w:line="276"/>
      </w:pPr>
      <w:r>
        <w:rPr>
          <w:rFonts w:ascii="Yu Mincho" w:cs="Yu Mincho" w:eastAsia="Yu Mincho" w:hAnsi="Yu Mincho"/>
          <w:sz w:val="20"/>
          <w:szCs w:val="20"/>
        </w:rPr>
        <w:t xml:space="preserve">Du, Y., Li, S., Torralba, A., Tenenbaum, J. B., &amp; Mordatch, I. (2024). Improving Factuality and Reasoning in Language Models through Multiagent Debate. ICML 2024. arXiv:2305.14325.</w:t>
      </w:r>
    </w:p>
    <w:p>
      <w:pPr>
        <w:pStyle w:val="ListParagraph"/>
        <w:numPr>
          <w:ilvl w:val="0"/>
          <w:numId w:val="3"/>
        </w:numPr>
        <w:spacing w:after="50" w:line="276"/>
      </w:pPr>
      <w:r>
        <w:rPr>
          <w:rFonts w:ascii="Yu Mincho" w:cs="Yu Mincho" w:eastAsia="Yu Mincho" w:hAnsi="Yu Mincho"/>
          <w:sz w:val="20"/>
          <w:szCs w:val="20"/>
        </w:rPr>
        <w:t xml:space="preserve">Nickerson, R. S. (1998). Confirmation Bias: A Ubiquitous Phenomenon in Many Guises. Review of General Psychology, 2(2), 175–220.</w:t>
      </w:r>
    </w:p>
    <w:p>
      <w:pPr>
        <w:pStyle w:val="ListParagraph"/>
        <w:numPr>
          <w:ilvl w:val="0"/>
          <w:numId w:val="3"/>
        </w:numPr>
        <w:spacing w:after="50" w:line="276"/>
      </w:pPr>
      <w:r>
        <w:rPr>
          <w:rFonts w:ascii="Yu Mincho" w:cs="Yu Mincho" w:eastAsia="Yu Mincho" w:hAnsi="Yu Mincho"/>
          <w:sz w:val="20"/>
          <w:szCs w:val="20"/>
        </w:rPr>
        <w:t xml:space="preserve">Sunstein, C. R. (2002). The Law of Group Polarization. Journal of Political Philosophy, 10(2), 175–195.</w:t>
      </w:r>
    </w:p>
    <w:p>
      <w:pPr>
        <w:pStyle w:val="ListParagraph"/>
        <w:numPr>
          <w:ilvl w:val="0"/>
          <w:numId w:val="3"/>
        </w:numPr>
        <w:spacing w:after="50" w:line="276"/>
      </w:pPr>
      <w:r>
        <w:rPr>
          <w:rFonts w:ascii="Yu Mincho" w:cs="Yu Mincho" w:eastAsia="Yu Mincho" w:hAnsi="Yu Mincho"/>
          <w:sz w:val="20"/>
          <w:szCs w:val="20"/>
        </w:rPr>
        <w:t xml:space="preserve">Mercier, H., &amp; Sperber, D. (2011). Why Do Humans Reason? Arguments for an Argumentative Theory. Behavioral and Brain Sciences, 34(2), 57–74.</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Mincho" w:cs="Yu Mincho" w:eastAsia="Yu Mincho" w:hAnsi="Yu Mincho"/>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62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Yu Mincho" w:cs="Yu Mincho" w:eastAsia="Yu Mincho" w:hAnsi="Yu Mincho"/>
      <w:b/>
      <w:bCs/>
      <w:color w:val="000000"/>
      <w:sz w:val="24"/>
      <w:szCs w:val="24"/>
    </w:rPr>
  </w:style>
  <w:style w:type="paragraph" w:styleId="Heading2">
    <w:name w:val="Heading 2"/>
    <w:basedOn w:val="Normal"/>
    <w:next w:val="Normal"/>
    <w:qFormat/>
    <w:pPr>
      <w:spacing w:after="90" w:before="160"/>
      <w:outlineLvl w:val="1"/>
    </w:pPr>
    <w:rPr>
      <w:rFonts w:ascii="Yu Mincho" w:cs="Yu Mincho" w:eastAsia="Yu Mincho" w:hAnsi="Yu Mincho"/>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2026-05-31T07:53:38.214Z</dcterms:created>
  <dcterms:modified xsi:type="dcterms:W3CDTF">2026-05-31T07:53:38.214Z</dcterms:modified>
</cp:coreProperties>
</file>

<file path=docProps/custom.xml><?xml version="1.0" encoding="utf-8"?>
<Properties xmlns="http://schemas.openxmlformats.org/officeDocument/2006/custom-properties" xmlns:vt="http://schemas.openxmlformats.org/officeDocument/2006/docPropsVTypes"/>
</file>