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Collectible Merchandise Price Prediction: A Machine Learning Case Study</w:t>
      </w:r>
    </w:p>
    <w:p>
      <w:pPr>
        <w:spacing w:after="10"/>
      </w:pPr>
      <w:r>
        <w:rPr>
          <w:rFonts w:ascii="Calibri" w:cs="Calibri" w:eastAsia="Calibri" w:hAnsi="Calibri"/>
          <w:color w:val="4A5568"/>
          <w:sz w:val="17"/>
          <w:szCs w:val="17"/>
        </w:rPr>
        <w:t xml:space="preserve">UE24CS352A Machine Learning Mini-Project  |  Team 30, Problem 50  |  Reia S (PES2UG24CS921), Ritesh Babu Reddy (PES2UG24CS403)</w:t>
      </w:r>
    </w:p>
    <w:p>
      <w:pPr>
        <w:spacing w:after="70" w:line="252"/>
      </w:pPr>
      <w:r>
        <w:rPr>
          <w:rFonts w:ascii="Calibri" w:cs="Calibri" w:eastAsia="Calibri" w:hAnsi="Calibri"/>
          <w:color w:val="4A5568"/>
          <w:sz w:val="17"/>
          <w:szCs w:val="17"/>
        </w:rPr>
        <w:t xml:space="preserve">GitHub: &lt;add private repo link&gt;  |  Inspired by Lu, Stanford CS229 (2021)</w:t>
      </w:r>
    </w:p>
    <w:p>
      <w:pPr>
        <w:keepNext/>
        <w:spacing w:after="50" w:before="130"/>
      </w:pPr>
      <w:r>
        <w:rPr>
          <w:rFonts w:ascii="Calibri" w:cs="Calibri" w:eastAsia="Calibri" w:hAnsi="Calibri"/>
          <w:b/>
          <w:bCs/>
          <w:color w:val="1A365D"/>
          <w:sz w:val="23"/>
          <w:szCs w:val="23"/>
        </w:rPr>
        <w:t xml:space="preserve">1. Problem statement</w:t>
      </w:r>
    </w:p>
    <w:p>
      <w:pPr>
        <w:spacing w:after="70" w:line="252"/>
      </w:pPr>
      <w:r>
        <w:rPr>
          <w:rFonts w:ascii="Calibri" w:cs="Calibri" w:eastAsia="Calibri" w:hAnsi="Calibri"/>
          <w:sz w:val="19"/>
          <w:szCs w:val="19"/>
        </w:rPr>
        <w:t xml:space="preserve">Resale prices of collectible merchandise (trading cards, vinyl and action figures, comics, LEGO sets, memorabilia) span several orders of magnitude and depend on rarity, condition, age and demand. We build and compare machine-learning models that </w:t>
      </w:r>
      <w:r>
        <w:rPr>
          <w:rFonts w:ascii="Calibri" w:cs="Calibri" w:eastAsia="Calibri" w:hAnsi="Calibri"/>
          <w:b/>
          <w:bCs/>
          <w:sz w:val="19"/>
          <w:szCs w:val="19"/>
        </w:rPr>
        <w:t xml:space="preserve">predict the dollar resale price</w:t>
      </w:r>
      <w:r>
        <w:rPr>
          <w:rFonts w:ascii="Calibri" w:cs="Calibri" w:eastAsia="Calibri" w:hAnsi="Calibri"/>
          <w:sz w:val="19"/>
          <w:szCs w:val="19"/>
        </w:rPr>
        <w:t xml:space="preserve"> of a listing from its attributes, so that sellers can price items sensibly when comparable transactions are scarce. The reference CS229 report classifies Funko Pops into price bins; we generalise to six product categories and to continuous price regression.</w:t>
      </w:r>
    </w:p>
    <w:p>
      <w:pPr>
        <w:keepNext/>
        <w:spacing w:after="50" w:before="130"/>
      </w:pPr>
      <w:r>
        <w:rPr>
          <w:rFonts w:ascii="Calibri" w:cs="Calibri" w:eastAsia="Calibri" w:hAnsi="Calibri"/>
          <w:b/>
          <w:bCs/>
          <w:color w:val="1A365D"/>
          <w:sz w:val="23"/>
          <w:szCs w:val="23"/>
        </w:rPr>
        <w:t xml:space="preserve">2. Dataset</w:t>
      </w:r>
    </w:p>
    <w:p>
      <w:pPr>
        <w:pBdr>
          <w:top w:val="single" w:color="DD6B20" w:sz="4"/>
          <w:left w:val="single" w:color="DD6B20" w:sz="4"/>
          <w:bottom w:val="single" w:color="DD6B20" w:sz="4"/>
          <w:right w:val="single" w:color="DD6B20" w:sz="4"/>
        </w:pBdr>
        <w:shd w:fill="FFFAF0" w:color="auto" w:val="clear"/>
        <w:spacing w:after="100" w:before="40" w:line="252"/>
      </w:pPr>
      <w:r>
        <w:rPr>
          <w:rFonts w:ascii="Calibri" w:cs="Calibri" w:eastAsia="Calibri" w:hAnsi="Calibri"/>
          <w:b/>
          <w:bCs/>
          <w:sz w:val="19"/>
          <w:szCs w:val="19"/>
        </w:rPr>
        <w:t xml:space="preserve">Important: </w:t>
      </w:r>
      <w:r>
        <w:rPr>
          <w:rFonts w:ascii="Calibri" w:cs="Calibri" w:eastAsia="Calibri" w:hAnsi="Calibri"/>
          <w:sz w:val="19"/>
          <w:szCs w:val="19"/>
        </w:rPr>
        <w:t xml:space="preserve">no licensed real-market data was available, so we use a </w:t>
      </w:r>
      <w:r>
        <w:rPr>
          <w:rFonts w:ascii="Calibri" w:cs="Calibri" w:eastAsia="Calibri" w:hAnsi="Calibri"/>
          <w:b/>
          <w:bCs/>
          <w:sz w:val="19"/>
          <w:szCs w:val="19"/>
        </w:rPr>
        <w:t xml:space="preserve">synthetic dataset of 1,200 listings</w:t>
      </w:r>
      <w:r>
        <w:rPr>
          <w:rFonts w:ascii="Calibri" w:cs="Calibri" w:eastAsia="Calibri" w:hAnsi="Calibri"/>
          <w:sz w:val="19"/>
          <w:szCs w:val="19"/>
        </w:rPr>
        <w:t xml:space="preserve"> generated from a latent log-linear price model with a condition × rarity interaction, a vintage premium that grows with rarity, and heavy-tailed noise (occasional “grail” outliers). Features: product type, franchise, condition (4 ordered levels), rarity (4 ordered levels), age in years, edition size, search volume, graded flag, original-packaging flag. Prices range from about $10 to $31,000 (median $136). </w:t>
      </w:r>
      <w:r>
        <w:rPr>
          <w:rFonts w:ascii="Calibri" w:cs="Calibri" w:eastAsia="Calibri" w:hAnsi="Calibri"/>
          <w:b/>
          <w:bCs/>
          <w:sz w:val="19"/>
          <w:szCs w:val="19"/>
        </w:rPr>
        <w:t xml:space="preserve">Because the generator is largely log-linear, linear models are favoured by construction; results describe the methods, not the real market.</w:t>
      </w:r>
      <w:r>
        <w:rPr>
          <w:rFonts w:ascii="Calibri" w:cs="Calibri" w:eastAsia="Calibri" w:hAnsi="Calibri"/>
          <w:sz w:val="19"/>
          <w:szCs w:val="19"/>
        </w:rPr>
        <w:t xml:space="preserve"> The code accepts a real CSV with the same columns.</w:t>
      </w:r>
    </w:p>
    <w:p>
      <w:pPr>
        <w:spacing w:after="40"/>
        <w:jc w:val="center"/>
      </w:pPr>
      <w:r>
        <w:drawing>
          <wp:inline distT="0" distB="0" distL="0" distR="0">
            <wp:extent cx="4000500" cy="1381125"/>
            <wp:effectExtent t="0" r="0" b="0" l="0"/>
            <wp:docPr id="1" name="data_overview.png" descr="data_overview.png" title="dat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381125"/>
                    </a:xfrm>
                    <a:prstGeom prst="rect">
                      <a:avLst/>
                    </a:prstGeom>
                  </pic:spPr>
                </pic:pic>
              </a:graphicData>
            </a:graphic>
          </wp:inline>
        </w:drawing>
      </w:r>
    </w:p>
    <w:p>
      <w:pPr>
        <w:keepNext/>
        <w:spacing w:after="50" w:before="130"/>
      </w:pPr>
      <w:r>
        <w:rPr>
          <w:rFonts w:ascii="Calibri" w:cs="Calibri" w:eastAsia="Calibri" w:hAnsi="Calibri"/>
          <w:b/>
          <w:bCs/>
          <w:color w:val="1A365D"/>
          <w:sz w:val="23"/>
          <w:szCs w:val="23"/>
        </w:rPr>
        <w:t xml:space="preserve">3. Approach</w:t>
      </w:r>
    </w:p>
    <w:p>
      <w:pPr>
        <w:spacing w:after="70" w:line="252"/>
      </w:pPr>
      <w:r>
        <w:rPr>
          <w:rFonts w:ascii="Calibri" w:cs="Calibri" w:eastAsia="Calibri" w:hAnsi="Calibri"/>
          <w:b/>
          <w:bCs/>
          <w:sz w:val="19"/>
          <w:szCs w:val="19"/>
        </w:rPr>
        <w:t xml:space="preserve">Preprocessing</w:t>
      </w:r>
      <w:r>
        <w:rPr>
          <w:rFonts w:ascii="Calibri" w:cs="Calibri" w:eastAsia="Calibri" w:hAnsi="Calibri"/>
          <w:sz w:val="19"/>
          <w:szCs w:val="19"/>
        </w:rPr>
        <w:t xml:space="preserve"> (inside each CV pipeline, so no leakage): one-hot for product type and franchise; ordinal encoding for condition and rarity; log transform for heavy-tailed edition size and search volume; standardisation for distance/linear models. </w:t>
      </w:r>
      <w:r>
        <w:rPr>
          <w:rFonts w:ascii="Calibri" w:cs="Calibri" w:eastAsia="Calibri" w:hAnsi="Calibri"/>
          <w:b/>
          <w:bCs/>
          <w:sz w:val="19"/>
          <w:szCs w:val="19"/>
        </w:rPr>
        <w:t xml:space="preserve">Target: </w:t>
      </w:r>
      <w:r>
        <w:rPr>
          <w:rFonts w:ascii="Calibri" w:cs="Calibri" w:eastAsia="Calibri" w:hAnsi="Calibri"/>
          <w:sz w:val="19"/>
          <w:szCs w:val="19"/>
        </w:rPr>
        <w:t xml:space="preserve">log(price), predictions mapped back with exp(). </w:t>
      </w:r>
      <w:r>
        <w:rPr>
          <w:rFonts w:ascii="Calibri" w:cs="Calibri" w:eastAsia="Calibri" w:hAnsi="Calibri"/>
          <w:b/>
          <w:bCs/>
          <w:sz w:val="19"/>
          <w:szCs w:val="19"/>
        </w:rPr>
        <w:t xml:space="preserve">Models: </w:t>
      </w:r>
      <w:r>
        <w:rPr>
          <w:rFonts w:ascii="Calibri" w:cs="Calibri" w:eastAsia="Calibri" w:hAnsi="Calibri"/>
          <w:sz w:val="19"/>
          <w:szCs w:val="19"/>
        </w:rPr>
        <w:t xml:space="preserve">median baseline, linear regression, ridge, kNN, RBF-SVR, decision tree, bagged trees, random forest, gradient boosting. </w:t>
      </w:r>
      <w:r>
        <w:rPr>
          <w:rFonts w:ascii="Calibri" w:cs="Calibri" w:eastAsia="Calibri" w:hAnsi="Calibri"/>
          <w:b/>
          <w:bCs/>
          <w:sz w:val="19"/>
          <w:szCs w:val="19"/>
        </w:rPr>
        <w:t xml:space="preserve">Evaluation: </w:t>
      </w:r>
      <w:r>
        <w:rPr>
          <w:rFonts w:ascii="Calibri" w:cs="Calibri" w:eastAsia="Calibri" w:hAnsi="Calibri"/>
          <w:sz w:val="19"/>
          <w:szCs w:val="19"/>
        </w:rPr>
        <w:t xml:space="preserve">5-fold CV repeated 3 times; RMSE and R² on log price, MAE in USD, median absolute percentage error (MedAPE) and the share of predictions within 25% of the true price. A hold-out split gives error by price tier and permutation importance.</w:t>
      </w:r>
    </w:p>
    <w:p>
      <w:pPr>
        <w:keepNext/>
        <w:spacing w:after="50" w:before="130"/>
      </w:pPr>
      <w:r>
        <w:rPr>
          <w:rFonts w:ascii="Calibri" w:cs="Calibri" w:eastAsia="Calibri" w:hAnsi="Calibri"/>
          <w:b/>
          <w:bCs/>
          <w:color w:val="1A365D"/>
          <w:sz w:val="23"/>
          <w:szCs w:val="23"/>
        </w:rPr>
        <w:t xml:space="preserve">4. Implementation overview</w:t>
      </w:r>
    </w:p>
    <w:p>
      <w:pPr>
        <w:spacing w:after="70" w:line="252"/>
      </w:pPr>
      <w:r>
        <w:rPr>
          <w:rFonts w:ascii="Calibri" w:cs="Calibri" w:eastAsia="Calibri" w:hAnsi="Calibri"/>
          <w:sz w:val="19"/>
          <w:szCs w:val="19"/>
        </w:rPr>
        <w:t xml:space="preserve">Python / scikit-learn: </w:t>
      </w:r>
      <w:r>
        <w:rPr>
          <w:rFonts w:ascii="Consolas" w:cs="Consolas" w:eastAsia="Consolas" w:hAnsi="Consolas"/>
          <w:sz w:val="17"/>
          <w:szCs w:val="17"/>
        </w:rPr>
        <w:t xml:space="preserve">features.py</w:t>
      </w:r>
      <w:r>
        <w:rPr>
          <w:rFonts w:ascii="Calibri" w:cs="Calibri" w:eastAsia="Calibri" w:hAnsi="Calibri"/>
          <w:sz w:val="19"/>
          <w:szCs w:val="19"/>
        </w:rPr>
        <w:t xml:space="preserve"> (ColumnTransformer pipeline), </w:t>
      </w:r>
      <w:r>
        <w:rPr>
          <w:rFonts w:ascii="Consolas" w:cs="Consolas" w:eastAsia="Consolas" w:hAnsi="Consolas"/>
          <w:sz w:val="17"/>
          <w:szCs w:val="17"/>
        </w:rPr>
        <w:t xml:space="preserve">models.py</w:t>
      </w:r>
      <w:r>
        <w:rPr>
          <w:rFonts w:ascii="Calibri" w:cs="Calibri" w:eastAsia="Calibri" w:hAnsi="Calibri"/>
          <w:sz w:val="19"/>
          <w:szCs w:val="19"/>
        </w:rPr>
        <w:t xml:space="preserve"> (model zoo wrapped in TransformedTargetRegressor), </w:t>
      </w:r>
      <w:r>
        <w:rPr>
          <w:rFonts w:ascii="Consolas" w:cs="Consolas" w:eastAsia="Consolas" w:hAnsi="Consolas"/>
          <w:sz w:val="17"/>
          <w:szCs w:val="17"/>
        </w:rPr>
        <w:t xml:space="preserve">run_experiments.py</w:t>
      </w:r>
      <w:r>
        <w:rPr>
          <w:rFonts w:ascii="Calibri" w:cs="Calibri" w:eastAsia="Calibri" w:hAnsi="Calibri"/>
          <w:sz w:val="19"/>
          <w:szCs w:val="19"/>
        </w:rPr>
        <w:t xml:space="preserve"> (CV, tier analysis, importance, plots), </w:t>
      </w:r>
      <w:r>
        <w:rPr>
          <w:rFonts w:ascii="Consolas" w:cs="Consolas" w:eastAsia="Consolas" w:hAnsi="Consolas"/>
          <w:sz w:val="17"/>
          <w:szCs w:val="17"/>
        </w:rPr>
        <w:t xml:space="preserve">demo.py</w:t>
      </w:r>
      <w:r>
        <w:rPr>
          <w:rFonts w:ascii="Calibri" w:cs="Calibri" w:eastAsia="Calibri" w:hAnsi="Calibri"/>
          <w:sz w:val="19"/>
          <w:szCs w:val="19"/>
        </w:rPr>
        <w:t xml:space="preserve"> (price estimate from the command line), </w:t>
      </w:r>
      <w:r>
        <w:rPr>
          <w:rFonts w:ascii="Consolas" w:cs="Consolas" w:eastAsia="Consolas" w:hAnsi="Consolas"/>
          <w:sz w:val="17"/>
          <w:szCs w:val="17"/>
        </w:rPr>
        <w:t xml:space="preserve">data/generate_synthetic.py</w:t>
      </w:r>
      <w:r>
        <w:rPr>
          <w:rFonts w:ascii="Calibri" w:cs="Calibri" w:eastAsia="Calibri" w:hAnsi="Calibri"/>
          <w:sz w:val="19"/>
          <w:szCs w:val="19"/>
        </w:rPr>
        <w:t xml:space="preserve">. The README lists setup and run commands.</w:t>
      </w:r>
    </w:p>
    <w:p>
      <w:pPr>
        <w:keepNext/>
        <w:spacing w:after="50" w:before="130"/>
      </w:pPr>
      <w:r>
        <w:rPr>
          <w:rFonts w:ascii="Calibri" w:cs="Calibri" w:eastAsia="Calibri" w:hAnsi="Calibri"/>
          <w:b/>
          <w:bCs/>
          <w:color w:val="1A365D"/>
          <w:sz w:val="23"/>
          <w:szCs w:val="23"/>
        </w:rPr>
        <w:t xml:space="preserve">5. Results (validation, mean over 15 CV folds; lower RMSE is better; synthetic data)</w:t>
      </w:r>
    </w:p>
    <w:tbl>
      <w:tblPr>
        <w:tblW w:type="dxa" w:w="9906"/>
        <w:tblBorders>
          <w:top w:val="single" w:color="A0AEC0" w:sz="4"/>
          <w:left w:val="single" w:color="A0AEC0" w:sz="4"/>
          <w:bottom w:val="single" w:color="A0AEC0" w:sz="4"/>
          <w:right w:val="single" w:color="A0AEC0" w:sz="4"/>
          <w:insideH w:val="single" w:color="A0AEC0" w:sz="4"/>
          <w:insideV w:val="single" w:color="A0AEC0" w:sz="4"/>
        </w:tblBorders>
      </w:tblPr>
      <w:tblGrid>
        <w:gridCol w:w="2100"/>
        <w:gridCol w:w="1350"/>
        <w:gridCol w:w="1350"/>
        <w:gridCol w:w="1250"/>
        <w:gridCol w:w="1350"/>
        <w:gridCol w:w="1250"/>
        <w:gridCol w:w="1256"/>
      </w:tblGrid>
      <w:tr>
        <w:trPr>
          <w:tblHeader/>
        </w:trPr>
        <w:tc>
          <w:tcPr>
            <w:tcW w:type="dxa" w:w="2100"/>
            <w:shd w:fill="E2E8F0" w:color="auto" w:val="clear"/>
            <w:tcMar>
              <w:top w:type="dxa" w:w="30"/>
              <w:left w:type="dxa" w:w="70"/>
              <w:bottom w:type="dxa" w:w="30"/>
              <w:right w:type="dxa" w:w="70"/>
            </w:tcMar>
          </w:tcPr>
          <w:p>
            <w:pPr>
              <w:jc w:val="left"/>
            </w:pPr>
            <w:r>
              <w:rPr>
                <w:rFonts w:ascii="Calibri" w:cs="Calibri" w:eastAsia="Calibri" w:hAnsi="Calibri"/>
                <w:b/>
                <w:bCs/>
                <w:sz w:val="17"/>
                <w:szCs w:val="17"/>
              </w:rPr>
              <w:t xml:space="preserve">Model</w:t>
            </w:r>
          </w:p>
        </w:tc>
        <w:tc>
          <w:tcPr>
            <w:tcW w:type="dxa" w:w="1350"/>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Train RMSE</w:t>
            </w:r>
          </w:p>
        </w:tc>
        <w:tc>
          <w:tcPr>
            <w:tcW w:type="dxa" w:w="1350"/>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Valid RMSE</w:t>
            </w:r>
          </w:p>
        </w:tc>
        <w:tc>
          <w:tcPr>
            <w:tcW w:type="dxa" w:w="1250"/>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Valid R²</w:t>
            </w:r>
          </w:p>
        </w:tc>
        <w:tc>
          <w:tcPr>
            <w:tcW w:type="dxa" w:w="1350"/>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MAE (USD)</w:t>
            </w:r>
          </w:p>
        </w:tc>
        <w:tc>
          <w:tcPr>
            <w:tcW w:type="dxa" w:w="1250"/>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MedAPE</w:t>
            </w:r>
          </w:p>
        </w:tc>
        <w:tc>
          <w:tcPr>
            <w:tcW w:type="dxa" w:w="1256"/>
            <w:shd w:fill="E2E8F0"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Within 25%</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Median baseline</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1.099</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1.098</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-0.014</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$264</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65.2%</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17.9%</w:t>
            </w:r>
          </w:p>
        </w:tc>
      </w:tr>
      <w:tr>
        <w:trPr>
          <w:cantSplit/>
        </w:trPr>
        <w:tc>
          <w:tcPr>
            <w:tcW w:type="dxa" w:w="2100"/>
            <w:shd w:fill="EBF8FF" w:color="auto" w:val="clear"/>
            <w:tcMar>
              <w:top w:type="dxa" w:w="30"/>
              <w:left w:type="dxa" w:w="70"/>
              <w:bottom w:type="dxa" w:w="30"/>
              <w:right w:type="dxa" w:w="70"/>
            </w:tcMar>
          </w:tcPr>
          <w:p>
            <w:pPr>
              <w:jc w:val="left"/>
            </w:pPr>
            <w:r>
              <w:rPr>
                <w:rFonts w:ascii="Calibri" w:cs="Calibri" w:eastAsia="Calibri" w:hAnsi="Calibri"/>
                <w:b w:val="false"/>
                <w:bCs w:val="false"/>
                <w:sz w:val="17"/>
                <w:szCs w:val="17"/>
              </w:rPr>
              <w:t xml:space="preserve">Linear Regression</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0.488</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0.495</w:t>
            </w:r>
          </w:p>
        </w:tc>
        <w:tc>
          <w:tcPr>
            <w:tcW w:type="dxa" w:w="12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0.792</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$147</w:t>
            </w:r>
          </w:p>
        </w:tc>
        <w:tc>
          <w:tcPr>
            <w:tcW w:type="dxa" w:w="12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29.0%</w:t>
            </w:r>
          </w:p>
        </w:tc>
        <w:tc>
          <w:tcPr>
            <w:tcW w:type="dxa" w:w="1256"/>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44.3%</w:t>
            </w:r>
          </w:p>
        </w:tc>
      </w:tr>
      <w:tr>
        <w:trPr>
          <w:cantSplit/>
        </w:trPr>
        <w:tc>
          <w:tcPr>
            <w:tcW w:type="dxa" w:w="2100"/>
            <w:shd w:fill="EBF8FF" w:color="auto" w:val="clear"/>
            <w:tcMar>
              <w:top w:type="dxa" w:w="30"/>
              <w:left w:type="dxa" w:w="70"/>
              <w:bottom w:type="dxa" w:w="30"/>
              <w:right w:type="dxa" w:w="70"/>
            </w:tcMar>
          </w:tcPr>
          <w:p>
            <w:pPr>
              <w:jc w:val="left"/>
            </w:pPr>
            <w:r>
              <w:rPr>
                <w:rFonts w:ascii="Calibri" w:cs="Calibri" w:eastAsia="Calibri" w:hAnsi="Calibri"/>
                <w:b w:val="false"/>
                <w:bCs w:val="false"/>
                <w:sz w:val="17"/>
                <w:szCs w:val="17"/>
              </w:rPr>
              <w:t xml:space="preserve">Ridge</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0.488</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0.495</w:t>
            </w:r>
          </w:p>
        </w:tc>
        <w:tc>
          <w:tcPr>
            <w:tcW w:type="dxa" w:w="12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0.792</w:t>
            </w:r>
          </w:p>
        </w:tc>
        <w:tc>
          <w:tcPr>
            <w:tcW w:type="dxa" w:w="13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$147</w:t>
            </w:r>
          </w:p>
        </w:tc>
        <w:tc>
          <w:tcPr>
            <w:tcW w:type="dxa" w:w="1250"/>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28.9%</w:t>
            </w:r>
          </w:p>
        </w:tc>
        <w:tc>
          <w:tcPr>
            <w:tcW w:type="dxa" w:w="1256"/>
            <w:shd w:fill="EBF8FF" w:color="auto" w:val="clear"/>
            <w:tcMar>
              <w:top w:type="dxa" w:w="30"/>
              <w:left w:type="dxa" w:w="70"/>
              <w:bottom w:type="dxa" w:w="30"/>
              <w:right w:type="dxa" w:w="70"/>
            </w:tcMar>
          </w:tcPr>
          <w:p>
            <w:pPr>
              <w:jc w:val="center"/>
            </w:pPr>
            <w:r>
              <w:rPr>
                <w:rFonts w:ascii="Calibri" w:cs="Calibri" w:eastAsia="Calibri" w:hAnsi="Calibri"/>
                <w:b w:val="false"/>
                <w:bCs w:val="false"/>
                <w:sz w:val="17"/>
                <w:szCs w:val="17"/>
              </w:rPr>
              <w:t xml:space="preserve">44.3%</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kNN (k=10)</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0.000</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0.645</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0.649</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$193</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38.4%</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32.7%</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SVR (RBF)</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0.315</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0.568</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0.727</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$169</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33.7%</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37.6%</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Decision Tree</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0.466</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0.765</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0.505</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$219</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45.7%</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28.1%</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Bagged Trees</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0.377</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0.623</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0.672</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$185</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36.1%</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35.0%</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Random Forest</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0.309</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0.618</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0.677</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$185</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35.9%</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35.6%</w:t>
            </w:r>
          </w:p>
        </w:tc>
      </w:tr>
      <w:tr>
        <w:trPr>
          <w:cantSplit/>
        </w:trPr>
        <w:tc>
          <w:tcPr>
            <w:tcW w:type="dxa" w:w="2100"/>
            <w:tcMar>
              <w:top w:type="dxa" w:w="30"/>
              <w:left w:type="dxa" w:w="70"/>
              <w:bottom w:type="dxa" w:w="30"/>
              <w:right w:type="dxa" w:w="70"/>
            </w:tcMar>
          </w:tcPr>
          <w:p>
            <w:pPr>
              <w:jc w:val="left"/>
            </w:pPr>
            <w:r>
              <w:rPr>
                <w:rFonts w:ascii="Calibri" w:cs="Calibri" w:eastAsia="Calibri" w:hAnsi="Calibri"/>
                <w:b w:val="false"/>
                <w:bCs w:val="false"/>
                <w:sz w:val="17"/>
                <w:szCs w:val="17"/>
              </w:rPr>
              <w:t xml:space="preserve">Gradient Boosting</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0.335</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0.524</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0.768</w:t>
            </w:r>
          </w:p>
        </w:tc>
        <w:tc>
          <w:tcPr>
            <w:tcW w:type="dxa" w:w="13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$153</w:t>
            </w:r>
          </w:p>
        </w:tc>
        <w:tc>
          <w:tcPr>
            <w:tcW w:type="dxa" w:w="1250"/>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31.9%</w:t>
            </w:r>
          </w:p>
        </w:tc>
        <w:tc>
          <w:tcPr>
            <w:tcW w:type="dxa" w:w="1256"/>
            <w:tcMar>
              <w:top w:type="dxa" w:w="30"/>
              <w:left w:type="dxa" w:w="70"/>
              <w:bottom w:type="dxa" w:w="30"/>
              <w:right w:type="dxa" w:w="70"/>
            </w:tcMar>
          </w:tcPr>
          <w:p>
            <w:pPr>
              <w:jc w:val="center"/>
            </w:pPr>
            <w:r>
              <w:rPr>
                <w:rFonts w:ascii="Calibri" w:cs="Calibri" w:eastAsia="Calibri" w:hAnsi="Calibri"/>
                <w:b w:val="false"/>
                <w:bCs w:val="false"/>
                <w:sz w:val="17"/>
                <w:szCs w:val="17"/>
              </w:rPr>
              <w:t xml:space="preserve">40.6%</w:t>
            </w:r>
          </w:p>
        </w:tc>
      </w:tr>
    </w:tbl>
    <w:p>
      <w:pPr>
        <w:spacing w:after="40" w:before="80"/>
        <w:jc w:val="center"/>
      </w:pPr>
      <w:r>
        <w:drawing>
          <wp:inline distT="0" distB="0" distL="0" distR="0">
            <wp:extent cx="2571750" cy="140970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409700"/>
                    </a:xfrm>
                    <a:prstGeom prst="rect">
                      <a:avLst/>
                    </a:prstGeom>
                  </pic:spPr>
                </pic:pic>
              </a:graphicData>
            </a:graphic>
          </wp:inline>
        </w:drawing>
      </w:r>
      <w:r>
        <w:rPr>
          <w:rFonts w:ascii="Calibri" w:cs="Calibri" w:eastAsia="Calibri" w:hAnsi="Calibri"/>
          <w:sz w:val="19"/>
          <w:szCs w:val="19"/>
        </w:rPr>
        <w:t xml:space="preserve">  </w:t>
      </w:r>
      <w:r>
        <w:drawing>
          <wp:inline distT="0" distB="0" distL="0" distR="0">
            <wp:extent cx="1571625" cy="1447800"/>
            <wp:effectExtent t="0" r="0" b="0" l="0"/>
            <wp:docPr id="1" name="pred_vs_actual.png" descr="pred_vs_actual.png" title="p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47800"/>
                    </a:xfrm>
                    <a:prstGeom prst="rect">
                      <a:avLst/>
                    </a:prstGeom>
                  </pic:spPr>
                </pic:pic>
              </a:graphicData>
            </a:graphic>
          </wp:inline>
        </w:drawing>
      </w:r>
      <w:r>
        <w:rPr>
          <w:rFonts w:ascii="Calibri" w:cs="Calibri" w:eastAsia="Calibri" w:hAnsi="Calibri"/>
          <w:sz w:val="19"/>
          <w:szCs w:val="19"/>
        </w:rPr>
        <w:t xml:space="preserve">  </w:t>
      </w:r>
      <w:r>
        <w:drawing>
          <wp:inline distT="0" distB="0" distL="0" distR="0">
            <wp:extent cx="1809750" cy="133350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33500"/>
                    </a:xfrm>
                    <a:prstGeom prst="rect">
                      <a:avLst/>
                    </a:prstGeom>
                  </pic:spPr>
                </pic:pic>
              </a:graphicData>
            </a:graphic>
          </wp:inline>
        </w:drawing>
      </w:r>
    </w:p>
    <w:p>
      <w:pPr>
        <w:keepNext/>
        <w:spacing w:after="50" w:before="130"/>
      </w:pPr>
      <w:r>
        <w:rPr>
          <w:rFonts w:ascii="Calibri" w:cs="Calibri" w:eastAsia="Calibri" w:hAnsi="Calibri"/>
          <w:b/>
          <w:bCs/>
          <w:color w:val="1A365D"/>
          <w:sz w:val="23"/>
          <w:szCs w:val="23"/>
        </w:rPr>
        <w:t xml:space="preserve">6. Conclusions</w:t>
      </w:r>
    </w:p>
    <w:p>
      <w:pPr>
        <w:pStyle w:val="ListParagraph"/>
        <w:numPr>
          <w:ilvl w:val="0"/>
          <w:numId w:val="2"/>
        </w:numPr>
        <w:spacing w:after="50" w:line="252"/>
      </w:pPr>
      <w:r>
        <w:rPr>
          <w:rFonts w:ascii="Calibri" w:cs="Calibri" w:eastAsia="Calibri" w:hAnsi="Calibri"/>
          <w:b/>
          <w:bCs/>
          <w:sz w:val="19"/>
          <w:szCs w:val="19"/>
        </w:rPr>
        <w:t xml:space="preserve">Every model beats the median baseline</w:t>
      </w:r>
      <w:r>
        <w:rPr>
          <w:rFonts w:ascii="Calibri" w:cs="Calibri" w:eastAsia="Calibri" w:hAnsi="Calibri"/>
          <w:sz w:val="19"/>
          <w:szCs w:val="19"/>
        </w:rPr>
        <w:t xml:space="preserve"> (RMSE 1.10 on log price). Ridge/linear regression are best (RMSE 0.495, R² 0.79, 44% of predictions within 25%), followed by gradient boosting (0.524) and SVR (0.568). This ordering is expected because the synthetic prices are log-linear; on real data, where interactions are richer, boosting may close or reverse the gap.</w:t>
      </w:r>
    </w:p>
    <w:p>
      <w:pPr>
        <w:pStyle w:val="ListParagraph"/>
        <w:numPr>
          <w:ilvl w:val="0"/>
          <w:numId w:val="2"/>
        </w:numPr>
        <w:spacing w:after="50" w:line="252"/>
      </w:pPr>
      <w:r>
        <w:rPr>
          <w:rFonts w:ascii="Calibri" w:cs="Calibri" w:eastAsia="Calibri" w:hAnsi="Calibri"/>
          <w:b/>
          <w:bCs/>
          <w:sz w:val="19"/>
          <w:szCs w:val="19"/>
        </w:rPr>
        <w:t xml:space="preserve">Variance reduction works:</w:t>
      </w:r>
      <w:r>
        <w:rPr>
          <w:rFonts w:ascii="Calibri" w:cs="Calibri" w:eastAsia="Calibri" w:hAnsi="Calibri"/>
          <w:sz w:val="19"/>
          <w:szCs w:val="19"/>
        </w:rPr>
        <w:t xml:space="preserve"> a single tree (RMSE 0.76) improves to 0.62 when bagged and 0.62 as a random forest, but trees stay behind the smooth log-linear models. kNN memorises (train RMSE 0.00) and generalises worst of the non-tree models.</w:t>
      </w:r>
    </w:p>
    <w:p>
      <w:pPr>
        <w:pStyle w:val="ListParagraph"/>
        <w:numPr>
          <w:ilvl w:val="0"/>
          <w:numId w:val="2"/>
        </w:numPr>
        <w:spacing w:after="50" w:line="252"/>
      </w:pPr>
      <w:r>
        <w:rPr>
          <w:rFonts w:ascii="Calibri" w:cs="Calibri" w:eastAsia="Calibri" w:hAnsi="Calibri"/>
          <w:b/>
          <w:bCs/>
          <w:sz w:val="19"/>
          <w:szCs w:val="19"/>
        </w:rPr>
        <w:t xml:space="preserve">Drivers of price:</w:t>
      </w:r>
      <w:r>
        <w:rPr>
          <w:rFonts w:ascii="Calibri" w:cs="Calibri" w:eastAsia="Calibri" w:hAnsi="Calibri"/>
          <w:sz w:val="19"/>
          <w:szCs w:val="19"/>
        </w:rPr>
        <w:t xml:space="preserve"> permutation importance ranks rarity, product type and edition size highest, matching how the data were generated and common collecting intuition.</w:t>
      </w:r>
    </w:p>
    <w:p>
      <w:pPr>
        <w:pStyle w:val="ListParagraph"/>
        <w:numPr>
          <w:ilvl w:val="0"/>
          <w:numId w:val="2"/>
        </w:numPr>
        <w:spacing w:after="50" w:line="252"/>
      </w:pPr>
      <w:r>
        <w:rPr>
          <w:rFonts w:ascii="Calibri" w:cs="Calibri" w:eastAsia="Calibri" w:hAnsi="Calibri"/>
          <w:b/>
          <w:bCs/>
          <w:sz w:val="19"/>
          <w:szCs w:val="19"/>
        </w:rPr>
        <w:t xml:space="preserve">The most expensive items are under-priced:</w:t>
      </w:r>
      <w:r>
        <w:rPr>
          <w:rFonts w:ascii="Calibri" w:cs="Calibri" w:eastAsia="Calibri" w:hAnsi="Calibri"/>
          <w:sz w:val="19"/>
          <w:szCs w:val="19"/>
        </w:rPr>
        <w:t xml:space="preserve"> on hold-out data the top-10% tier is predicted about 42% too low (mean log bias -0.55), because rare “grail” outliers are heavy-tailed noise that the features cannot explain. Sellers should treat predictions for top-tier items as a floor, not a price.</w:t>
      </w:r>
    </w:p>
    <w:p>
      <w:pPr>
        <w:pStyle w:val="ListParagraph"/>
        <w:numPr>
          <w:ilvl w:val="0"/>
          <w:numId w:val="2"/>
        </w:numPr>
        <w:spacing w:after="50" w:line="252"/>
      </w:pPr>
      <w:r>
        <w:rPr>
          <w:rFonts w:ascii="Calibri" w:cs="Calibri" w:eastAsia="Calibri" w:hAnsi="Calibri"/>
          <w:b/>
          <w:bCs/>
          <w:sz w:val="19"/>
          <w:szCs w:val="19"/>
        </w:rPr>
        <w:t xml:space="preserve">Limitations / future work:</w:t>
      </w:r>
      <w:r>
        <w:rPr>
          <w:rFonts w:ascii="Calibri" w:cs="Calibri" w:eastAsia="Calibri" w:hAnsi="Calibri"/>
          <w:sz w:val="19"/>
          <w:szCs w:val="19"/>
        </w:rPr>
        <w:t xml:space="preserve"> synthetic data; typical error is still about 30% (MedAPE). Next steps: real marketplace transactions, quantile regression for price intervals, text features from listing titles, and tuned boosting with interaction terms.</w:t>
      </w:r>
    </w:p>
    <w:sectPr>
      <w:pgSz w:w="11906" w:h="16838" w:orient="portrait"/>
      <w:pgMar w:top="720" w:right="1000" w:bottom="6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c2c5f452ba662271d50d4482d69cd1585a99b6.png"/><Relationship Id="rId8" Type="http://schemas.openxmlformats.org/officeDocument/2006/relationships/image" Target="media/4923b59b42ed66ee151b0b6fdd1be74f5fc3b379.png"/><Relationship Id="rId9" Type="http://schemas.openxmlformats.org/officeDocument/2006/relationships/image" Target="media/3843b5b784244ec509510da3bd9df42983939918.png"/><Relationship Id="rId10" Type="http://schemas.openxmlformats.org/officeDocument/2006/relationships/image" Target="media/56f22145f8c4f94ea96d2f8d0c36dbfc29babb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Collectible Merchandise Price Prediction</dc:title>
  <dc:creator>Reia S, Ritesh Babu Reddy</dc:creator>
  <cp:lastModifiedBy>Un-named</cp:lastModifiedBy>
  <cp:revision>1</cp:revision>
  <dcterms:created xsi:type="dcterms:W3CDTF">2026-10-13T07:19:59.035Z</dcterms:created>
  <dcterms:modified xsi:type="dcterms:W3CDTF">2026-10-13T07:19:59.035Z</dcterms:modified>
</cp:coreProperties>
</file>

<file path=docProps/custom.xml><?xml version="1.0" encoding="utf-8"?>
<Properties xmlns="http://schemas.openxmlformats.org/officeDocument/2006/custom-properties" xmlns:vt="http://schemas.openxmlformats.org/officeDocument/2006/docPropsVTypes"/>
</file>