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right"/>
      </w:pPr>
      <w:r>
        <w:rPr>
          <w:rtl w:val="0"/>
          <w:lang w:val="en-US"/>
        </w:rPr>
        <w:t>Claudia Trafton</w:t>
      </w:r>
    </w:p>
    <w:p>
      <w:pPr>
        <w:pStyle w:val="Body"/>
        <w:jc w:val="right"/>
      </w:pPr>
      <w:r>
        <w:rPr>
          <w:rtl w:val="0"/>
          <w:lang w:val="en-US"/>
        </w:rPr>
        <w:t>ASTR103</w:t>
      </w:r>
    </w:p>
    <w:p>
      <w:pPr>
        <w:pStyle w:val="Body"/>
        <w:jc w:val="right"/>
      </w:pPr>
      <w:r>
        <w:rPr>
          <w:rtl w:val="0"/>
          <w:lang w:val="en-US"/>
        </w:rPr>
        <w:t>3/4/15</w:t>
      </w:r>
    </w:p>
    <w:p>
      <w:pPr>
        <w:pStyle w:val="Body"/>
        <w:rPr>
          <w:b w:val="1"/>
          <w:bCs w:val="1"/>
        </w:rPr>
      </w:pPr>
    </w:p>
    <w:p>
      <w:pPr>
        <w:pStyle w:val="Body"/>
        <w:rPr>
          <w:b w:val="1"/>
          <w:bCs w:val="1"/>
        </w:rPr>
      </w:pPr>
      <w:r>
        <w:rPr>
          <w:b w:val="1"/>
          <w:bCs w:val="1"/>
          <w:rtl w:val="0"/>
          <w:lang w:val="en-US"/>
        </w:rPr>
        <w:t>1.Solar Cycle</w:t>
      </w:r>
      <w:r>
        <w:rPr>
          <w:b w:val="1"/>
          <w:bCs w:val="1"/>
        </w:rPr>
        <w:drawing>
          <wp:anchor distT="152400" distB="152400" distL="152400" distR="152400" simplePos="0" relativeHeight="251660288" behindDoc="0" locked="0" layoutInCell="1" allowOverlap="1">
            <wp:simplePos x="0" y="0"/>
            <wp:positionH relativeFrom="margin">
              <wp:posOffset>766072</wp:posOffset>
            </wp:positionH>
            <wp:positionV relativeFrom="line">
              <wp:posOffset>280929</wp:posOffset>
            </wp:positionV>
            <wp:extent cx="4398756" cy="336016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4">
                      <a:extLst/>
                    </a:blip>
                    <a:stretch>
                      <a:fillRect/>
                    </a:stretch>
                  </pic:blipFill>
                  <pic:spPr>
                    <a:xfrm>
                      <a:off x="0" y="0"/>
                      <a:ext cx="4398756" cy="3360161"/>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tl w:val="0"/>
        </w:rPr>
        <w:tab/>
        <w:t xml:space="preserve">a)      </w:t>
        <w:tab/>
      </w:r>
    </w:p>
    <w:p>
      <w:pPr>
        <w:pStyle w:val="Body"/>
        <w:rPr>
          <w:b w:val="1"/>
          <w:bCs w:val="1"/>
        </w:rPr>
      </w:pPr>
      <w:r>
        <w:rPr>
          <w:b w:val="1"/>
          <w:bCs w:val="1"/>
        </w:rPr>
        <w:tab/>
      </w:r>
    </w:p>
    <w:p>
      <w:pPr>
        <w:pStyle w:val="Body"/>
        <w:rPr>
          <w:b w:val="1"/>
          <w:bCs w:val="1"/>
        </w:rPr>
      </w:pPr>
      <w:r>
        <w:rPr>
          <w:b w:val="1"/>
          <w:bCs w:val="1"/>
        </w:rPr>
        <mc:AlternateContent>
          <mc:Choice Requires="wps">
            <w:drawing>
              <wp:anchor distT="152400" distB="152400" distL="152400" distR="152400" simplePos="0" relativeHeight="251659264" behindDoc="0" locked="0" layoutInCell="1" allowOverlap="1">
                <wp:simplePos x="0" y="0"/>
                <wp:positionH relativeFrom="margin">
                  <wp:posOffset>1469390</wp:posOffset>
                </wp:positionH>
                <wp:positionV relativeFrom="line">
                  <wp:posOffset>175259</wp:posOffset>
                </wp:positionV>
                <wp:extent cx="3296921" cy="2113281"/>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296921" cy="2113281"/>
                        </a:xfrm>
                        <a:prstGeom prst="rect">
                          <a:avLst/>
                        </a:prstGeom>
                        <a:noFill/>
                        <a:ln w="12700" cap="flat">
                          <a:noFill/>
                          <a:miter lim="400000"/>
                        </a:ln>
                        <a:effectLst/>
                      </wps:spPr>
                      <wps:bodyPr/>
                    </wps:wsp>
                  </a:graphicData>
                </a:graphic>
              </wp:anchor>
            </w:drawing>
          </mc:Choice>
          <mc:Fallback>
            <w:pict>
              <v:rect id="_x0000_s1026" style="visibility:visible;position:absolute;margin-left:115.7pt;margin-top:13.8pt;width:259.6pt;height:166.4pt;z-index:2516592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Body"/>
        <w:rPr>
          <w:b w:val="1"/>
          <w:bCs w:val="1"/>
        </w:rPr>
      </w:pPr>
    </w:p>
    <w:p>
      <w:pPr>
        <w:pStyle w:val="Body"/>
        <w:rPr>
          <w:b w:val="1"/>
          <w:bCs w:val="1"/>
        </w:rPr>
      </w:pPr>
    </w:p>
    <w:p>
      <w:pPr>
        <w:pStyle w:val="Body"/>
        <w:rPr>
          <w:b w:val="1"/>
          <w:bCs w:val="1"/>
        </w:rPr>
      </w:pPr>
      <w:r>
        <w:rPr>
          <w:b w:val="1"/>
          <w:bCs w:val="1"/>
        </w:rPr>
        <mc:AlternateContent>
          <mc:Choice Requires="wps">
            <w:drawing>
              <wp:anchor distT="152400" distB="152400" distL="152400" distR="152400" simplePos="0" relativeHeight="251661312" behindDoc="0" locked="0" layoutInCell="1" allowOverlap="1">
                <wp:simplePos x="0" y="0"/>
                <wp:positionH relativeFrom="margin">
                  <wp:posOffset>1384300</wp:posOffset>
                </wp:positionH>
                <wp:positionV relativeFrom="line">
                  <wp:posOffset>323850</wp:posOffset>
                </wp:positionV>
                <wp:extent cx="3053080" cy="131064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3053080" cy="1310640"/>
                        </a:xfrm>
                        <a:prstGeom prst="rect">
                          <a:avLst/>
                        </a:prstGeom>
                        <a:noFill/>
                        <a:ln w="12700" cap="flat">
                          <a:solidFill>
                            <a:srgbClr val="000000"/>
                          </a:solidFill>
                          <a:prstDash val="solid"/>
                          <a:miter lim="400000"/>
                        </a:ln>
                        <a:effectLst/>
                      </wps:spPr>
                      <wps:txbx>
                        <w:txbxContent>
                          <w:p>
                            <w:pPr>
                              <w:pStyle w:val="Body"/>
                              <w:rPr>
                                <w:b w:val="1"/>
                                <w:bCs w:val="1"/>
                              </w:rPr>
                            </w:pPr>
                            <w:r>
                              <w:rPr>
                                <w:b w:val="1"/>
                                <w:bCs w:val="1"/>
                                <w:rtl w:val="0"/>
                                <w:lang w:val="en-US"/>
                              </w:rPr>
                              <w:t>ISES Solar Cycle Progression (Jan. 2000 - Jan. 2015)</w:t>
                            </w:r>
                          </w:p>
                          <w:p>
                            <w:pPr>
                              <w:pStyle w:val="Body"/>
                              <w:bidi w:val="0"/>
                            </w:pPr>
                            <w:r>
                              <w:rPr>
                                <w:rFonts w:ascii="Helvetica" w:cs="Arial Unicode MS" w:hAnsi="Arial Unicode MS" w:eastAsia="Arial Unicode MS"/>
                                <w:rtl w:val="0"/>
                              </w:rPr>
                              <w:t>Source: Space Weather Prediction Center (NOAA)</w:t>
                            </w:r>
                          </w:p>
                          <w:p>
                            <w:pPr>
                              <w:pStyle w:val="Body"/>
                              <w:bidi w:val="0"/>
                            </w:pPr>
                            <w:hyperlink r:id="rId5" w:history="1">
                              <w:r>
                                <w:rPr>
                                  <w:rStyle w:val="Hyperlink.0"/>
                                  <w:rFonts w:ascii="Helvetica" w:cs="Arial Unicode MS" w:hAnsi="Arial Unicode MS" w:eastAsia="Arial Unicode MS"/>
                                  <w:rtl w:val="0"/>
                                </w:rPr>
                                <w:t>http://www.swpc.noaa.gov/products/solar-cycle-progression</w:t>
                              </w:r>
                            </w:hyperlink>
                          </w:p>
                          <w:p>
                            <w:pPr>
                              <w:pStyle w:val="Body"/>
                              <w:bidi w:val="0"/>
                            </w:pPr>
                            <w:r>
                              <w:rPr>
                                <w:rFonts w:ascii="Helvetica" w:cs="Arial Unicode MS" w:hAnsi="Arial Unicode MS" w:eastAsia="Arial Unicode MS"/>
                                <w:rtl w:val="0"/>
                              </w:rPr>
                              <w:t>(Accessed: 3/2/15)</w:t>
                            </w:r>
                          </w:p>
                          <w:p>
                            <w:pPr>
                              <w:pStyle w:val="Body"/>
                              <w:bidi w:val="0"/>
                            </w:pPr>
                            <w:r/>
                          </w:p>
                        </w:txbxContent>
                      </wps:txbx>
                      <wps:bodyPr wrap="square" lIns="0" tIns="0" rIns="0" bIns="0" numCol="1" anchor="t">
                        <a:noAutofit/>
                      </wps:bodyPr>
                    </wps:wsp>
                  </a:graphicData>
                </a:graphic>
              </wp:anchor>
            </w:drawing>
          </mc:Choice>
          <mc:Fallback>
            <w:pict>
              <v:rect id="_x0000_s1027" style="visibility:visible;position:absolute;margin-left:109.0pt;margin-top:25.5pt;width:240.4pt;height:103.2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ISES Solar Cycle Progression (Jan. 2000 - Jan. 2015)</w:t>
                      </w:r>
                    </w:p>
                    <w:p>
                      <w:pPr>
                        <w:pStyle w:val="Body"/>
                        <w:bidi w:val="0"/>
                      </w:pPr>
                      <w:r>
                        <w:rPr>
                          <w:rFonts w:ascii="Helvetica" w:cs="Arial Unicode MS" w:hAnsi="Arial Unicode MS" w:eastAsia="Arial Unicode MS"/>
                          <w:rtl w:val="0"/>
                        </w:rPr>
                        <w:t>Source: Space Weather Prediction Center (NOAA)</w:t>
                      </w:r>
                    </w:p>
                    <w:p>
                      <w:pPr>
                        <w:pStyle w:val="Body"/>
                        <w:bidi w:val="0"/>
                      </w:pPr>
                      <w:hyperlink r:id="rId5" w:history="1">
                        <w:r>
                          <w:rPr>
                            <w:rStyle w:val="Hyperlink.0"/>
                            <w:rFonts w:ascii="Helvetica" w:cs="Arial Unicode MS" w:hAnsi="Arial Unicode MS" w:eastAsia="Arial Unicode MS"/>
                            <w:rtl w:val="0"/>
                          </w:rPr>
                          <w:t>http://www.swpc.noaa.gov/products/solar-cycle-progression</w:t>
                        </w:r>
                      </w:hyperlink>
                    </w:p>
                    <w:p>
                      <w:pPr>
                        <w:pStyle w:val="Body"/>
                        <w:bidi w:val="0"/>
                      </w:pPr>
                      <w:r>
                        <w:rPr>
                          <w:rFonts w:ascii="Helvetica" w:cs="Arial Unicode MS" w:hAnsi="Arial Unicode MS" w:eastAsia="Arial Unicode MS"/>
                          <w:rtl w:val="0"/>
                        </w:rPr>
                        <w:t>(Accessed: 3/2/15)</w:t>
                      </w:r>
                    </w:p>
                    <w:p>
                      <w:pPr>
                        <w:pStyle w:val="Body"/>
                        <w:bidi w:val="0"/>
                      </w:pPr>
                      <w:r/>
                    </w:p>
                  </w:txbxContent>
                </v:textbox>
                <w10:wrap type="topAndBottom" side="bothSides" anchorx="margin"/>
              </v:rect>
            </w:pict>
          </mc:Fallback>
        </mc:AlternateContent>
      </w:r>
    </w:p>
    <w:p>
      <w:pPr>
        <w:pStyle w:val="Body"/>
        <w:rPr>
          <w:b w:val="1"/>
          <w:bCs w:val="1"/>
        </w:rPr>
      </w:pPr>
    </w:p>
    <w:p>
      <w:pPr>
        <w:pStyle w:val="Body"/>
        <w:rPr>
          <w:b w:val="0"/>
          <w:bCs w:val="0"/>
        </w:rPr>
      </w:pPr>
      <w:r>
        <w:rPr>
          <w:b w:val="1"/>
          <w:bCs w:val="1"/>
          <w:rtl w:val="0"/>
          <w:lang w:val="en-US"/>
        </w:rPr>
        <w:t xml:space="preserve">b) </w:t>
      </w:r>
      <w:r>
        <w:rPr>
          <w:b w:val="0"/>
          <w:bCs w:val="0"/>
          <w:rtl w:val="0"/>
          <w:lang w:val="en-US"/>
        </w:rPr>
        <w:t>The smaller intervals are in increments of five. We know this because there are five lines between each larger interval since 25/5 = 5.</w:t>
      </w:r>
    </w:p>
    <w:p>
      <w:pPr>
        <w:pStyle w:val="Body"/>
        <w:rPr>
          <w:b w:val="1"/>
          <w:bCs w:val="1"/>
        </w:rPr>
      </w:pPr>
    </w:p>
    <w:p>
      <w:pPr>
        <w:pStyle w:val="Body"/>
        <w:rPr>
          <w:b w:val="0"/>
          <w:bCs w:val="0"/>
        </w:rPr>
      </w:pPr>
      <w:r>
        <w:rPr>
          <w:b w:val="1"/>
          <w:bCs w:val="1"/>
          <w:rtl w:val="0"/>
          <w:lang w:val="en-US"/>
        </w:rPr>
        <w:t>c)</w:t>
      </w:r>
      <w:r>
        <w:rPr>
          <w:b w:val="0"/>
          <w:bCs w:val="0"/>
          <w:rtl w:val="0"/>
          <w:lang w:val="en-US"/>
        </w:rPr>
        <w:t>The monthly value dot for January 2015 falls a little more than halfway between the tick marks for 65 and 70 sunspots meaning there were 68 sunspots.</w:t>
      </w:r>
    </w:p>
    <w:p>
      <w:pPr>
        <w:pStyle w:val="Body"/>
        <w:rPr>
          <w:b w:val="1"/>
          <w:bCs w:val="1"/>
        </w:rPr>
      </w:pPr>
    </w:p>
    <w:p>
      <w:pPr>
        <w:pStyle w:val="Body"/>
        <w:rPr>
          <w:b w:val="0"/>
          <w:bCs w:val="0"/>
        </w:rPr>
      </w:pPr>
      <w:r>
        <w:rPr>
          <w:b w:val="1"/>
          <w:bCs w:val="1"/>
          <w:rtl w:val="0"/>
          <w:lang w:val="en-US"/>
        </w:rPr>
        <w:t xml:space="preserve">d) </w:t>
      </w:r>
      <w:r>
        <w:rPr>
          <w:b w:val="0"/>
          <w:bCs w:val="0"/>
          <w:rtl w:val="0"/>
          <w:lang w:val="en-US"/>
        </w:rPr>
        <w:t>The first double peak seems to appear right at the beginning of January 2000. Judging by the red prediction line, the next solar maxima did not appear until 2014. It is curious how much smaller it is than the peak in 2000</w:t>
      </w:r>
      <w:r>
        <w:rPr>
          <w:rFonts w:hAnsi="Helvetica" w:hint="default"/>
          <w:b w:val="0"/>
          <w:bCs w:val="0"/>
          <w:rtl w:val="0"/>
          <w:lang w:val="en-US"/>
        </w:rPr>
        <w:t>…</w:t>
      </w:r>
    </w:p>
    <w:p>
      <w:pPr>
        <w:pStyle w:val="Body"/>
        <w:rPr>
          <w:b w:val="1"/>
          <w:bCs w:val="1"/>
        </w:rPr>
      </w:pPr>
    </w:p>
    <w:p>
      <w:pPr>
        <w:pStyle w:val="Body"/>
        <w:rPr>
          <w:b w:val="0"/>
          <w:bCs w:val="0"/>
        </w:rPr>
      </w:pPr>
      <w:r>
        <w:rPr>
          <w:b w:val="1"/>
          <w:bCs w:val="1"/>
          <w:rtl w:val="0"/>
          <w:lang w:val="en-US"/>
        </w:rPr>
        <w:t xml:space="preserve">e) </w:t>
      </w:r>
      <w:r>
        <w:rPr>
          <w:b w:val="0"/>
          <w:bCs w:val="0"/>
          <w:rtl w:val="0"/>
          <w:lang w:val="en-US"/>
        </w:rPr>
        <w:t>By the graph, we in the year 2015, are going towards a solar minimum. We can see this because the overall trend after 2014 in red is predicting less sunspots for the next few years. This would indicate less solar activity. If we peak at the other graphs we can also see that the Radio Flux is also predicted to decrease which further backs up the fact that we can expect less overall solar activity.</w:t>
      </w:r>
    </w:p>
    <w:p>
      <w:pPr>
        <w:pStyle w:val="Body"/>
        <w:rPr>
          <w:b w:val="0"/>
          <w:bCs w:val="0"/>
        </w:rPr>
      </w:pPr>
    </w:p>
    <w:p>
      <w:pPr>
        <w:pStyle w:val="Body"/>
        <w:rPr>
          <w:b w:val="0"/>
          <w:bCs w:val="0"/>
        </w:rPr>
      </w:pPr>
    </w:p>
    <w:p>
      <w:pPr>
        <w:pStyle w:val="Body"/>
        <w:rPr>
          <w:b w:val="1"/>
          <w:bCs w:val="1"/>
        </w:rPr>
      </w:pPr>
      <w:r>
        <w:rPr>
          <w:b w:val="1"/>
          <w:bCs w:val="1"/>
          <w:rtl w:val="0"/>
          <w:lang w:val="en-US"/>
        </w:rPr>
        <w:t>2. Length of the solar cycle:</w:t>
      </w:r>
    </w:p>
    <w:p>
      <w:pPr>
        <w:pStyle w:val="Body"/>
        <w:rPr>
          <w:b w:val="0"/>
          <w:bCs w:val="0"/>
        </w:rPr>
      </w:pPr>
    </w:p>
    <w:p>
      <w:pPr>
        <w:pStyle w:val="Body"/>
        <w:rPr>
          <w:b w:val="0"/>
          <w:bCs w:val="0"/>
        </w:rPr>
      </w:pPr>
      <w:r>
        <w:rPr>
          <w:b w:val="1"/>
          <w:bCs w:val="1"/>
          <w:rtl w:val="0"/>
          <w:lang w:val="en-US"/>
        </w:rPr>
        <w:t xml:space="preserve">a) </w:t>
      </w:r>
      <w:r>
        <w:rPr>
          <w:b w:val="0"/>
          <w:bCs w:val="0"/>
          <w:rtl w:val="0"/>
          <w:lang w:val="en-US"/>
        </w:rPr>
        <w:t>Solar minimums by SDIC graph (estimates):</w:t>
      </w:r>
    </w:p>
    <w:p>
      <w:pPr>
        <w:pStyle w:val="Body"/>
        <w:rPr>
          <w:b w:val="0"/>
          <w:bCs w:val="0"/>
        </w:rPr>
      </w:pPr>
      <w:r>
        <w:rPr>
          <w:b w:val="0"/>
          <w:bCs w:val="0"/>
          <w:rtl w:val="0"/>
        </w:rPr>
        <w:tab/>
        <w:t>1954.0</w:t>
      </w:r>
    </w:p>
    <w:p>
      <w:pPr>
        <w:pStyle w:val="Body"/>
        <w:rPr>
          <w:b w:val="0"/>
          <w:bCs w:val="0"/>
        </w:rPr>
      </w:pPr>
      <w:r>
        <w:rPr>
          <w:b w:val="0"/>
          <w:bCs w:val="0"/>
          <w:rtl w:val="0"/>
        </w:rPr>
        <w:tab/>
        <w:t>1964.5</w:t>
      </w:r>
    </w:p>
    <w:p>
      <w:pPr>
        <w:pStyle w:val="Body"/>
        <w:rPr>
          <w:b w:val="0"/>
          <w:bCs w:val="0"/>
        </w:rPr>
      </w:pPr>
      <w:r>
        <w:rPr>
          <w:b w:val="0"/>
          <w:bCs w:val="0"/>
          <w:rtl w:val="0"/>
        </w:rPr>
        <w:tab/>
        <w:t>1976.5</w:t>
      </w:r>
    </w:p>
    <w:p>
      <w:pPr>
        <w:pStyle w:val="Body"/>
        <w:rPr>
          <w:b w:val="0"/>
          <w:bCs w:val="0"/>
        </w:rPr>
      </w:pPr>
      <w:r>
        <w:rPr>
          <w:b w:val="0"/>
          <w:bCs w:val="0"/>
          <w:rtl w:val="0"/>
        </w:rPr>
        <w:tab/>
        <w:t>1987.0</w:t>
      </w:r>
    </w:p>
    <w:p>
      <w:pPr>
        <w:pStyle w:val="Body"/>
        <w:rPr>
          <w:b w:val="0"/>
          <w:bCs w:val="0"/>
        </w:rPr>
      </w:pPr>
      <w:r>
        <w:rPr>
          <w:b w:val="0"/>
          <w:bCs w:val="0"/>
          <w:rtl w:val="0"/>
        </w:rPr>
        <w:tab/>
        <w:t>1997.0</w:t>
      </w:r>
    </w:p>
    <w:p>
      <w:pPr>
        <w:pStyle w:val="Body"/>
        <w:rPr>
          <w:b w:val="0"/>
          <w:bCs w:val="0"/>
        </w:rPr>
      </w:pPr>
      <w:r>
        <w:rPr>
          <w:b w:val="0"/>
          <w:bCs w:val="0"/>
          <w:rtl w:val="0"/>
        </w:rPr>
        <w:tab/>
        <w:t>2009.0</w:t>
      </w:r>
    </w:p>
    <w:p>
      <w:pPr>
        <w:pStyle w:val="Body"/>
        <w:rPr>
          <w:b w:val="0"/>
          <w:bCs w:val="0"/>
        </w:rPr>
      </w:pPr>
    </w:p>
    <w:p>
      <w:pPr>
        <w:pStyle w:val="Body"/>
        <w:rPr>
          <w:b w:val="0"/>
          <w:bCs w:val="0"/>
        </w:rPr>
      </w:pPr>
      <w:r>
        <w:rPr>
          <w:b w:val="1"/>
          <w:bCs w:val="1"/>
          <w:rtl w:val="0"/>
          <w:lang w:val="en-US"/>
        </w:rPr>
        <w:t xml:space="preserve">b) </w:t>
      </w:r>
      <w:r>
        <w:rPr>
          <w:b w:val="0"/>
          <w:bCs w:val="0"/>
          <w:rtl w:val="0"/>
          <w:lang w:val="en-US"/>
        </w:rPr>
        <w:t>Differences between each minimum (gives estimate of cycle length)</w:t>
      </w:r>
    </w:p>
    <w:p>
      <w:pPr>
        <w:pStyle w:val="Body"/>
        <w:rPr>
          <w:b w:val="0"/>
          <w:bCs w:val="0"/>
        </w:rPr>
      </w:pPr>
      <w:r>
        <w:rPr>
          <w:b w:val="0"/>
          <w:bCs w:val="0"/>
          <w:rtl w:val="0"/>
        </w:rPr>
        <w:tab/>
        <w:t>1964.5-1954.0 = 10.5 years</w:t>
      </w:r>
    </w:p>
    <w:p>
      <w:pPr>
        <w:pStyle w:val="Body"/>
        <w:rPr>
          <w:b w:val="0"/>
          <w:bCs w:val="0"/>
        </w:rPr>
      </w:pPr>
      <w:r>
        <w:rPr>
          <w:b w:val="0"/>
          <w:bCs w:val="0"/>
          <w:rtl w:val="0"/>
        </w:rPr>
        <w:tab/>
        <w:t>1976.5-1964.5 = 12.0 years</w:t>
      </w:r>
    </w:p>
    <w:p>
      <w:pPr>
        <w:pStyle w:val="Body"/>
        <w:rPr>
          <w:b w:val="0"/>
          <w:bCs w:val="0"/>
        </w:rPr>
      </w:pPr>
      <w:r>
        <w:rPr>
          <w:b w:val="0"/>
          <w:bCs w:val="0"/>
          <w:rtl w:val="0"/>
        </w:rPr>
        <w:tab/>
        <w:t>1987.0-1976.5 = 10.5 years</w:t>
      </w:r>
    </w:p>
    <w:p>
      <w:pPr>
        <w:pStyle w:val="Body"/>
        <w:rPr>
          <w:b w:val="0"/>
          <w:bCs w:val="0"/>
        </w:rPr>
      </w:pPr>
      <w:r>
        <w:rPr>
          <w:b w:val="0"/>
          <w:bCs w:val="0"/>
          <w:rtl w:val="0"/>
        </w:rPr>
        <w:tab/>
        <w:t>1997.0-1987.0 = 10.0 years</w:t>
      </w:r>
    </w:p>
    <w:p>
      <w:pPr>
        <w:pStyle w:val="Body"/>
        <w:rPr>
          <w:b w:val="0"/>
          <w:bCs w:val="0"/>
        </w:rPr>
      </w:pPr>
      <w:r>
        <w:rPr>
          <w:b w:val="0"/>
          <w:bCs w:val="0"/>
          <w:rtl w:val="0"/>
        </w:rPr>
        <w:tab/>
        <w:t>2009.0-1997.0 = 12.0 years</w:t>
      </w:r>
    </w:p>
    <w:p>
      <w:pPr>
        <w:pStyle w:val="Body"/>
        <w:rPr>
          <w:b w:val="0"/>
          <w:bCs w:val="0"/>
        </w:rPr>
      </w:pPr>
    </w:p>
    <w:p>
      <w:pPr>
        <w:pStyle w:val="Body"/>
        <w:rPr>
          <w:b w:val="0"/>
          <w:bCs w:val="0"/>
        </w:rPr>
      </w:pPr>
      <w:r>
        <w:rPr>
          <w:b w:val="1"/>
          <w:bCs w:val="1"/>
          <w:rtl w:val="0"/>
          <w:lang w:val="en-US"/>
        </w:rPr>
        <w:t xml:space="preserve">c) </w:t>
      </w:r>
      <w:r>
        <w:rPr>
          <w:b w:val="0"/>
          <w:bCs w:val="0"/>
          <w:rtl w:val="0"/>
          <w:lang w:val="en-US"/>
        </w:rPr>
        <w:t>To take an average, add all results and divide by number of results:</w:t>
      </w:r>
    </w:p>
    <w:p>
      <w:pPr>
        <w:pStyle w:val="Body"/>
        <w:rPr>
          <w:b w:val="0"/>
          <w:bCs w:val="0"/>
        </w:rPr>
      </w:pPr>
      <w:r>
        <w:rPr>
          <w:b w:val="0"/>
          <w:bCs w:val="0"/>
          <w:rtl w:val="0"/>
        </w:rPr>
        <w:tab/>
        <w:t>(10.5 + 12 + 10.5 + 10 + 12)/5 = 11 years average cycle</w:t>
      </w:r>
    </w:p>
    <w:p>
      <w:pPr>
        <w:pStyle w:val="Body"/>
        <w:rPr>
          <w:b w:val="0"/>
          <w:bCs w:val="0"/>
        </w:rPr>
      </w:pPr>
    </w:p>
    <w:p>
      <w:pPr>
        <w:pStyle w:val="Body"/>
        <w:rPr>
          <w:b w:val="0"/>
          <w:bCs w:val="0"/>
        </w:rPr>
      </w:pPr>
      <w:r>
        <w:rPr>
          <w:b w:val="1"/>
          <w:bCs w:val="1"/>
          <w:rtl w:val="0"/>
          <w:lang w:val="en-US"/>
        </w:rPr>
        <w:t xml:space="preserve">d) </w:t>
      </w:r>
      <w:r>
        <w:rPr>
          <w:b w:val="0"/>
          <w:bCs w:val="0"/>
          <w:rtl w:val="0"/>
          <w:lang w:val="en-US"/>
        </w:rPr>
        <w:t>On page 479 of the textbook, the average cycle length is about 11 years, which coincides perfectly with my estimate. The range of solar cycle length is between 7 and 15 years . All of the estimated values in 2a fall into this range.</w:t>
      </w:r>
    </w:p>
    <w:p>
      <w:pPr>
        <w:pStyle w:val="Body"/>
        <w:rPr>
          <w:b w:val="0"/>
          <w:bCs w:val="0"/>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3. Magnetic Solar Cycle:</w:t>
      </w:r>
      <w:r>
        <w:rPr>
          <w:b w:val="1"/>
          <w:bCs w:val="1"/>
        </w:rPr>
        <w:drawing>
          <wp:anchor distT="152400" distB="152400" distL="152400" distR="152400" simplePos="0" relativeHeight="251662336" behindDoc="0" locked="0" layoutInCell="1" allowOverlap="1">
            <wp:simplePos x="0" y="0"/>
            <wp:positionH relativeFrom="margin">
              <wp:posOffset>824230</wp:posOffset>
            </wp:positionH>
            <wp:positionV relativeFrom="line">
              <wp:posOffset>233680</wp:posOffset>
            </wp:positionV>
            <wp:extent cx="3444241" cy="344424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6">
                      <a:extLst/>
                    </a:blip>
                    <a:stretch>
                      <a:fillRect/>
                    </a:stretch>
                  </pic:blipFill>
                  <pic:spPr>
                    <a:xfrm>
                      <a:off x="0" y="0"/>
                      <a:ext cx="3444241" cy="3444241"/>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tl w:val="0"/>
          <w:lang w:val="en-US"/>
        </w:rPr>
        <w:t xml:space="preserve">a)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mc:AlternateContent>
          <mc:Choice Requires="wps">
            <w:drawing>
              <wp:anchor distT="152400" distB="152400" distL="152400" distR="152400" simplePos="0" relativeHeight="251663360" behindDoc="0" locked="0" layoutInCell="1" allowOverlap="1">
                <wp:simplePos x="0" y="0"/>
                <wp:positionH relativeFrom="margin">
                  <wp:posOffset>1059179</wp:posOffset>
                </wp:positionH>
                <wp:positionV relativeFrom="line">
                  <wp:posOffset>171450</wp:posOffset>
                </wp:positionV>
                <wp:extent cx="3012440" cy="129032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3012440" cy="1290320"/>
                        </a:xfrm>
                        <a:prstGeom prst="rect">
                          <a:avLst/>
                        </a:prstGeom>
                        <a:noFill/>
                        <a:ln w="12700" cap="flat">
                          <a:solidFill>
                            <a:srgbClr val="000000"/>
                          </a:solidFill>
                          <a:prstDash val="solid"/>
                          <a:miter lim="400000"/>
                        </a:ln>
                        <a:effectLst/>
                      </wps:spPr>
                      <wps:txbx>
                        <w:txbxContent>
                          <w:p>
                            <w:pPr>
                              <w:pStyle w:val="Body"/>
                              <w:rPr>
                                <w:b w:val="1"/>
                                <w:bCs w:val="1"/>
                              </w:rPr>
                            </w:pPr>
                            <w:r>
                              <w:rPr>
                                <w:b w:val="1"/>
                                <w:bCs w:val="1"/>
                                <w:rtl w:val="0"/>
                                <w:lang w:val="en-US"/>
                              </w:rPr>
                              <w:t>Solar MDI Image on 12/22/2000</w:t>
                            </w:r>
                          </w:p>
                          <w:p>
                            <w:pPr>
                              <w:pStyle w:val="Body"/>
                              <w:bidi w:val="0"/>
                            </w:pPr>
                            <w:r>
                              <w:rPr>
                                <w:rFonts w:ascii="Helvetica" w:cs="Arial Unicode MS" w:hAnsi="Arial Unicode MS" w:eastAsia="Arial Unicode MS"/>
                                <w:rtl w:val="0"/>
                              </w:rPr>
                              <w:t>Source: NASA - Solar and Heliospheric Observatory</w:t>
                            </w:r>
                          </w:p>
                          <w:p>
                            <w:pPr>
                              <w:pStyle w:val="Body"/>
                              <w:bidi w:val="0"/>
                            </w:pPr>
                            <w:hyperlink r:id="rId7" w:history="1">
                              <w:r>
                                <w:rPr>
                                  <w:rStyle w:val="Hyperlink.0"/>
                                  <w:rFonts w:ascii="Helvetica" w:cs="Arial Unicode MS" w:hAnsi="Arial Unicode MS" w:eastAsia="Arial Unicode MS"/>
                                  <w:rtl w:val="0"/>
                                </w:rPr>
                                <w:t>http://sohowww.nascom.nasa.gov//data/REPROCESSING/Completed/2000/mdimag/20001222/20001222_0451_mdimag_512.jpg</w:t>
                              </w:r>
                            </w:hyperlink>
                          </w:p>
                          <w:p>
                            <w:pPr>
                              <w:pStyle w:val="Body"/>
                              <w:bidi w:val="0"/>
                            </w:pPr>
                            <w:r>
                              <w:rPr>
                                <w:rFonts w:ascii="Helvetica" w:cs="Arial Unicode MS" w:hAnsi="Arial Unicode MS" w:eastAsia="Arial Unicode MS"/>
                                <w:rtl w:val="0"/>
                              </w:rPr>
                              <w:t>(Accessed: 3/2/2015)</w:t>
                            </w:r>
                          </w:p>
                        </w:txbxContent>
                      </wps:txbx>
                      <wps:bodyPr wrap="square" lIns="0" tIns="0" rIns="0" bIns="0" numCol="1" anchor="t">
                        <a:noAutofit/>
                      </wps:bodyPr>
                    </wps:wsp>
                  </a:graphicData>
                </a:graphic>
              </wp:anchor>
            </w:drawing>
          </mc:Choice>
          <mc:Fallback>
            <w:pict>
              <v:rect id="_x0000_s1028" style="visibility:visible;position:absolute;margin-left:83.4pt;margin-top:13.5pt;width:237.2pt;height:101.6pt;z-index:25166336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Solar MDI Image on 12/22/2000</w:t>
                      </w:r>
                    </w:p>
                    <w:p>
                      <w:pPr>
                        <w:pStyle w:val="Body"/>
                        <w:bidi w:val="0"/>
                      </w:pPr>
                      <w:r>
                        <w:rPr>
                          <w:rFonts w:ascii="Helvetica" w:cs="Arial Unicode MS" w:hAnsi="Arial Unicode MS" w:eastAsia="Arial Unicode MS"/>
                          <w:rtl w:val="0"/>
                        </w:rPr>
                        <w:t>Source: NASA - Solar and Heliospheric Observatory</w:t>
                      </w:r>
                    </w:p>
                    <w:p>
                      <w:pPr>
                        <w:pStyle w:val="Body"/>
                        <w:bidi w:val="0"/>
                      </w:pPr>
                      <w:hyperlink r:id="rId7" w:history="1">
                        <w:r>
                          <w:rPr>
                            <w:rStyle w:val="Hyperlink.0"/>
                            <w:rFonts w:ascii="Helvetica" w:cs="Arial Unicode MS" w:hAnsi="Arial Unicode MS" w:eastAsia="Arial Unicode MS"/>
                            <w:rtl w:val="0"/>
                          </w:rPr>
                          <w:t>http://sohowww.nascom.nasa.gov//data/REPROCESSING/Completed/2000/mdimag/20001222/20001222_0451_mdimag_512.jpg</w:t>
                        </w:r>
                      </w:hyperlink>
                    </w:p>
                    <w:p>
                      <w:pPr>
                        <w:pStyle w:val="Body"/>
                        <w:bidi w:val="0"/>
                      </w:pPr>
                      <w:r>
                        <w:rPr>
                          <w:rFonts w:ascii="Helvetica" w:cs="Arial Unicode MS" w:hAnsi="Arial Unicode MS" w:eastAsia="Arial Unicode MS"/>
                          <w:rtl w:val="0"/>
                        </w:rPr>
                        <w:t>(Accessed: 3/2/2015)</w:t>
                      </w:r>
                    </w:p>
                  </w:txbxContent>
                </v:textbox>
                <w10:wrap type="topAndBottom" side="bothSides" anchorx="margin"/>
              </v:rect>
            </w:pict>
          </mc:Fallback>
        </mc:AlternateContent>
      </w:r>
    </w:p>
    <w:p>
      <w:pPr>
        <w:pStyle w:val="Body"/>
        <w:rPr>
          <w:b w:val="0"/>
          <w:bCs w:val="0"/>
        </w:rPr>
      </w:pPr>
      <w:r>
        <w:rPr>
          <w:b w:val="1"/>
          <w:bCs w:val="1"/>
          <w:rtl w:val="0"/>
          <w:lang w:val="en-US"/>
        </w:rPr>
        <w:t xml:space="preserve">b) </w:t>
      </w:r>
      <w:r>
        <w:rPr>
          <w:b w:val="0"/>
          <w:bCs w:val="0"/>
          <w:rtl w:val="0"/>
          <w:lang w:val="en-US"/>
        </w:rPr>
        <w:t>The north magnetic pole leads into the northern hemisphere and the south magnetic pole leads into the southern hemisphere; however, in the picture we see that the general pattern is not like Earth</w:t>
      </w:r>
      <w:r>
        <w:rPr>
          <w:rFonts w:hAnsi="Helvetica" w:hint="default"/>
          <w:b w:val="0"/>
          <w:bCs w:val="0"/>
          <w:rtl w:val="0"/>
          <w:lang w:val="en-US"/>
        </w:rPr>
        <w:t>’</w:t>
      </w:r>
      <w:r>
        <w:rPr>
          <w:b w:val="0"/>
          <w:bCs w:val="0"/>
          <w:rtl w:val="0"/>
          <w:lang w:val="en-US"/>
        </w:rPr>
        <w:t>s magnetic field that uniformly surrounds the planet. This one appears to be bowing out to the right in the picture and are in the shape of crescents.</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tl w:val="0"/>
          <w:lang w:val="en-US"/>
        </w:rPr>
        <w:t>c)</w:t>
      </w:r>
      <w:r>
        <w:rPr>
          <w:b w:val="1"/>
          <w:bCs w:val="1"/>
        </w:rPr>
        <w:drawing>
          <wp:anchor distT="152400" distB="152400" distL="152400" distR="152400" simplePos="0" relativeHeight="251664384" behindDoc="0" locked="0" layoutInCell="1" allowOverlap="1">
            <wp:simplePos x="0" y="0"/>
            <wp:positionH relativeFrom="margin">
              <wp:posOffset>445770</wp:posOffset>
            </wp:positionH>
            <wp:positionV relativeFrom="line">
              <wp:posOffset>-152399</wp:posOffset>
            </wp:positionV>
            <wp:extent cx="3139440" cy="313944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8">
                      <a:extLst/>
                    </a:blip>
                    <a:stretch>
                      <a:fillRect/>
                    </a:stretch>
                  </pic:blipFill>
                  <pic:spPr>
                    <a:xfrm>
                      <a:off x="0" y="0"/>
                      <a:ext cx="3139440" cy="3139440"/>
                    </a:xfrm>
                    <a:prstGeom prst="rect">
                      <a:avLst/>
                    </a:prstGeom>
                    <a:ln w="12700" cap="flat">
                      <a:noFill/>
                      <a:miter lim="400000"/>
                    </a:ln>
                    <a:effectLst/>
                  </pic:spPr>
                </pic:pic>
              </a:graphicData>
            </a:graphic>
          </wp:anchor>
        </w:drawing>
      </w:r>
      <w:r>
        <w:rPr>
          <w:b w:val="1"/>
          <w:bCs w:val="1"/>
          <w:rtl w:val="0"/>
          <w:lang w:val="en-US"/>
        </w:rPr>
        <w:t xml:space="preserve">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mc:AlternateContent>
          <mc:Choice Requires="wps">
            <w:drawing>
              <wp:anchor distT="152400" distB="152400" distL="152400" distR="152400" simplePos="0" relativeHeight="251665408" behindDoc="0" locked="0" layoutInCell="1" allowOverlap="1">
                <wp:simplePos x="0" y="0"/>
                <wp:positionH relativeFrom="margin">
                  <wp:posOffset>510539</wp:posOffset>
                </wp:positionH>
                <wp:positionV relativeFrom="line">
                  <wp:posOffset>223520</wp:posOffset>
                </wp:positionV>
                <wp:extent cx="3012440" cy="129032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3012440" cy="1290320"/>
                        </a:xfrm>
                        <a:prstGeom prst="rect">
                          <a:avLst/>
                        </a:prstGeom>
                        <a:noFill/>
                        <a:ln w="12700" cap="flat">
                          <a:solidFill>
                            <a:srgbClr val="000000"/>
                          </a:solidFill>
                          <a:prstDash val="solid"/>
                          <a:miter lim="400000"/>
                        </a:ln>
                        <a:effectLst/>
                      </wps:spPr>
                      <wps:txbx>
                        <w:txbxContent>
                          <w:p>
                            <w:pPr>
                              <w:pStyle w:val="Body"/>
                              <w:rPr>
                                <w:b w:val="1"/>
                                <w:bCs w:val="1"/>
                              </w:rPr>
                            </w:pPr>
                            <w:r>
                              <w:rPr>
                                <w:b w:val="1"/>
                                <w:bCs w:val="1"/>
                                <w:rtl w:val="0"/>
                                <w:lang w:val="en-US"/>
                              </w:rPr>
                              <w:t>Solar HMI Image on 08/26/2012</w:t>
                            </w:r>
                          </w:p>
                          <w:p>
                            <w:pPr>
                              <w:pStyle w:val="Body"/>
                              <w:bidi w:val="0"/>
                            </w:pPr>
                            <w:r>
                              <w:rPr>
                                <w:rFonts w:ascii="Helvetica" w:cs="Arial Unicode MS" w:hAnsi="Arial Unicode MS" w:eastAsia="Arial Unicode MS"/>
                                <w:rtl w:val="0"/>
                              </w:rPr>
                              <w:t>Source: NASA - Solar and Heliospheric Observatory</w:t>
                            </w:r>
                          </w:p>
                          <w:p>
                            <w:pPr>
                              <w:pStyle w:val="Body"/>
                              <w:bidi w:val="0"/>
                            </w:pPr>
                            <w:hyperlink r:id="rId9" w:history="1">
                              <w:r>
                                <w:rPr>
                                  <w:rStyle w:val="Hyperlink.0"/>
                                  <w:rFonts w:ascii="Helvetica" w:cs="Arial Unicode MS" w:hAnsi="Arial Unicode MS" w:eastAsia="Arial Unicode MS"/>
                                  <w:rtl w:val="0"/>
                                </w:rPr>
                                <w:t>http://sohowww.nascom.nasa.gov//data/REPROCESSING/Completed/2012/hmimag/20120826/20120826_0300_hmimag_512.jpg</w:t>
                              </w:r>
                            </w:hyperlink>
                          </w:p>
                          <w:p>
                            <w:pPr>
                              <w:pStyle w:val="Body"/>
                              <w:bidi w:val="0"/>
                            </w:pPr>
                            <w:r>
                              <w:rPr>
                                <w:rFonts w:ascii="Helvetica" w:cs="Arial Unicode MS" w:hAnsi="Arial Unicode MS" w:eastAsia="Arial Unicode MS"/>
                                <w:rtl w:val="0"/>
                              </w:rPr>
                              <w:t>(Accessed: 3/3/2015)</w:t>
                            </w:r>
                          </w:p>
                        </w:txbxContent>
                      </wps:txbx>
                      <wps:bodyPr wrap="square" lIns="0" tIns="0" rIns="0" bIns="0" numCol="1" anchor="t">
                        <a:noAutofit/>
                      </wps:bodyPr>
                    </wps:wsp>
                  </a:graphicData>
                </a:graphic>
              </wp:anchor>
            </w:drawing>
          </mc:Choice>
          <mc:Fallback>
            <w:pict>
              <v:rect id="_x0000_s1029" style="visibility:visible;position:absolute;margin-left:40.2pt;margin-top:17.6pt;width:237.2pt;height:101.6pt;z-index:25166540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Solar HMI Image on 08/26/2012</w:t>
                      </w:r>
                    </w:p>
                    <w:p>
                      <w:pPr>
                        <w:pStyle w:val="Body"/>
                        <w:bidi w:val="0"/>
                      </w:pPr>
                      <w:r>
                        <w:rPr>
                          <w:rFonts w:ascii="Helvetica" w:cs="Arial Unicode MS" w:hAnsi="Arial Unicode MS" w:eastAsia="Arial Unicode MS"/>
                          <w:rtl w:val="0"/>
                        </w:rPr>
                        <w:t>Source: NASA - Solar and Heliospheric Observatory</w:t>
                      </w:r>
                    </w:p>
                    <w:p>
                      <w:pPr>
                        <w:pStyle w:val="Body"/>
                        <w:bidi w:val="0"/>
                      </w:pPr>
                      <w:hyperlink r:id="rId9" w:history="1">
                        <w:r>
                          <w:rPr>
                            <w:rStyle w:val="Hyperlink.0"/>
                            <w:rFonts w:ascii="Helvetica" w:cs="Arial Unicode MS" w:hAnsi="Arial Unicode MS" w:eastAsia="Arial Unicode MS"/>
                            <w:rtl w:val="0"/>
                          </w:rPr>
                          <w:t>http://sohowww.nascom.nasa.gov//data/REPROCESSING/Completed/2012/hmimag/20120826/20120826_0300_hmimag_512.jpg</w:t>
                        </w:r>
                      </w:hyperlink>
                    </w:p>
                    <w:p>
                      <w:pPr>
                        <w:pStyle w:val="Body"/>
                        <w:bidi w:val="0"/>
                      </w:pPr>
                      <w:r>
                        <w:rPr>
                          <w:rFonts w:ascii="Helvetica" w:cs="Arial Unicode MS" w:hAnsi="Arial Unicode MS" w:eastAsia="Arial Unicode MS"/>
                          <w:rtl w:val="0"/>
                        </w:rPr>
                        <w:t>(Accessed: 3/3/2015)</w:t>
                      </w:r>
                    </w:p>
                  </w:txbxContent>
                </v:textbox>
                <w10:wrap type="topAndBottom" side="bothSides" anchorx="margin"/>
              </v:rect>
            </w:pict>
          </mc:Fallback>
        </mc:AlternateContent>
      </w:r>
    </w:p>
    <w:p>
      <w:pPr>
        <w:pStyle w:val="Body"/>
        <w:rPr>
          <w:b w:val="1"/>
          <w:bCs w:val="1"/>
        </w:rPr>
      </w:pPr>
    </w:p>
    <w:p>
      <w:pPr>
        <w:pStyle w:val="Body"/>
        <w:rPr>
          <w:b w:val="1"/>
          <w:bCs w:val="1"/>
        </w:rPr>
      </w:pPr>
      <w:r>
        <w:rPr>
          <w:b w:val="1"/>
          <w:bCs w:val="1"/>
          <w:rtl w:val="0"/>
          <w:lang w:val="en-US"/>
        </w:rPr>
        <w:t xml:space="preserve">            </w:t>
      </w:r>
    </w:p>
    <w:p>
      <w:pPr>
        <w:pStyle w:val="Body"/>
        <w:rPr>
          <w:b w:val="0"/>
          <w:bCs w:val="0"/>
        </w:rPr>
      </w:pPr>
      <w:r>
        <w:rPr>
          <w:b w:val="1"/>
          <w:bCs w:val="1"/>
          <w:rtl w:val="0"/>
          <w:lang w:val="en-US"/>
        </w:rPr>
        <w:t xml:space="preserve">d) </w:t>
      </w:r>
      <w:r>
        <w:rPr>
          <w:b w:val="0"/>
          <w:bCs w:val="0"/>
          <w:rtl w:val="0"/>
          <w:lang w:val="en-US"/>
        </w:rPr>
        <w:t>In this image the south pole also leads the sunspots in the northern hemisphere. Like in the previous image, the southern hemisphere</w:t>
      </w:r>
      <w:r>
        <w:rPr>
          <w:rFonts w:hAnsi="Helvetica" w:hint="default"/>
          <w:b w:val="0"/>
          <w:bCs w:val="0"/>
          <w:rtl w:val="0"/>
          <w:lang w:val="en-US"/>
        </w:rPr>
        <w:t>’</w:t>
      </w:r>
      <w:r>
        <w:rPr>
          <w:b w:val="0"/>
          <w:bCs w:val="0"/>
          <w:rtl w:val="0"/>
          <w:lang w:val="en-US"/>
        </w:rPr>
        <w:t>s sunspots are lead by the north pole.</w:t>
      </w:r>
    </w:p>
    <w:p>
      <w:pPr>
        <w:pStyle w:val="Body"/>
        <w:rPr>
          <w:b w:val="0"/>
          <w:bCs w:val="0"/>
        </w:rPr>
      </w:pPr>
    </w:p>
    <w:p>
      <w:pPr>
        <w:pStyle w:val="Body"/>
        <w:rPr>
          <w:b w:val="1"/>
          <w:bCs w:val="1"/>
        </w:rPr>
      </w:pPr>
    </w:p>
    <w:p>
      <w:pPr>
        <w:pStyle w:val="Body"/>
        <w:rPr>
          <w:b w:val="1"/>
          <w:bCs w:val="1"/>
        </w:rPr>
      </w:pPr>
      <w:r>
        <w:rPr>
          <w:b w:val="1"/>
          <w:bCs w:val="1"/>
          <w:rtl w:val="0"/>
          <w:lang w:val="en-US"/>
        </w:rPr>
        <w:t xml:space="preserve">e) </w:t>
      </w:r>
      <w:r>
        <w:rPr>
          <w:b w:val="0"/>
          <w:bCs w:val="0"/>
          <w:rtl w:val="0"/>
          <w:lang w:val="en-US"/>
        </w:rPr>
        <w:t>It is obvious that the cycles are not exactly the same. From the pictures above, it can be seen that the amount of sunspots in the first image is clearly more than the second image; however, the magnetic field line patterns appear to be similar in that they are both bowing out to the right in the pictures. We can conclude the magnetic cycle of the sun is longer than the sunspot cycle from these observations. The textbook cites that the sun</w:t>
      </w:r>
      <w:r>
        <w:rPr>
          <w:rFonts w:hAnsi="Helvetica" w:hint="default"/>
          <w:b w:val="0"/>
          <w:bCs w:val="0"/>
          <w:rtl w:val="0"/>
          <w:lang w:val="en-US"/>
        </w:rPr>
        <w:t>’</w:t>
      </w:r>
      <w:r>
        <w:rPr>
          <w:b w:val="0"/>
          <w:bCs w:val="0"/>
          <w:rtl w:val="0"/>
          <w:lang w:val="en-US"/>
        </w:rPr>
        <w:t>s magnetic field cycle is about 22 years.</w:t>
      </w:r>
    </w:p>
    <w:p>
      <w:pPr>
        <w:pStyle w:val="Body"/>
        <w:rPr>
          <w:b w:val="1"/>
          <w:bCs w:val="1"/>
        </w:rPr>
      </w:pPr>
    </w:p>
    <w:p>
      <w:pPr>
        <w:pStyle w:val="Body"/>
        <w:rPr>
          <w:b w:val="1"/>
          <w:bCs w:val="1"/>
        </w:rPr>
      </w:pPr>
      <w:r>
        <w:rPr>
          <w:b w:val="1"/>
          <w:bCs w:val="1"/>
          <w:rtl w:val="0"/>
          <w:lang w:val="en-US"/>
        </w:rPr>
        <w:t>4. Solar Wind:</w:t>
      </w:r>
    </w:p>
    <w:p>
      <w:pPr>
        <w:pStyle w:val="Body"/>
        <w:rPr>
          <w:b w:val="1"/>
          <w:bCs w:val="1"/>
        </w:rPr>
      </w:pPr>
    </w:p>
    <w:p>
      <w:pPr>
        <w:pStyle w:val="Body"/>
        <w:rPr>
          <w:b w:val="1"/>
          <w:bCs w:val="1"/>
        </w:rPr>
      </w:pPr>
      <w:r>
        <w:rPr>
          <w:b w:val="1"/>
          <w:bCs w:val="1"/>
          <w:rtl w:val="0"/>
          <w:lang w:val="en-US"/>
        </w:rPr>
        <w:t xml:space="preserve">a) </w:t>
      </w:r>
      <w:r>
        <w:rPr>
          <w:b w:val="0"/>
          <w:bCs w:val="0"/>
          <w:rtl w:val="0"/>
          <w:lang w:val="en-US"/>
        </w:rPr>
        <w:t>On 3/3/2015, at 2222 UT (5:22 pm EST) the solar wind speed was 439.2 km/sec</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0"/>
          <w:bCs w:val="0"/>
        </w:rPr>
      </w:pPr>
      <w:r>
        <w:rPr>
          <w:b w:val="1"/>
          <w:bCs w:val="1"/>
          <w:rtl w:val="0"/>
          <w:lang w:val="en-US"/>
        </w:rPr>
        <w:t xml:space="preserve">b) </w:t>
      </w:r>
      <w:r>
        <w:rPr>
          <w:b w:val="0"/>
          <w:bCs w:val="0"/>
          <w:rtl w:val="0"/>
          <w:lang w:val="en-US"/>
        </w:rPr>
        <w:t>We know speed and distance, so we can use time = distance/rate</w:t>
      </w:r>
    </w:p>
    <w:p>
      <w:pPr>
        <w:pStyle w:val="Body"/>
        <w:rPr>
          <w:b w:val="0"/>
          <w:bCs w:val="0"/>
        </w:rPr>
      </w:pPr>
      <w:r>
        <w:rPr>
          <w:b w:val="0"/>
          <w:bCs w:val="0"/>
          <w:rtl w:val="0"/>
          <w:lang w:val="en-US"/>
        </w:rPr>
        <w:t>the sun is about 149,600,000 km from earth and the speed is 439.2 km/sec meaning:</w:t>
      </w:r>
    </w:p>
    <w:p>
      <w:pPr>
        <w:pStyle w:val="Body"/>
        <w:rPr>
          <w:b w:val="0"/>
          <w:bCs w:val="0"/>
        </w:rPr>
      </w:pPr>
      <w:r>
        <w:rPr>
          <w:b w:val="0"/>
          <w:bCs w:val="0"/>
          <w:rtl w:val="0"/>
          <w:lang w:val="en-US"/>
        </w:rPr>
        <w:t>time = 149,600,000 km/ 439.3 km/sec = 340619.3 seconds.</w:t>
      </w:r>
    </w:p>
    <w:p>
      <w:pPr>
        <w:pStyle w:val="Body"/>
        <w:rPr>
          <w:b w:val="1"/>
          <w:bCs w:val="1"/>
        </w:rPr>
      </w:pPr>
      <w:r>
        <w:rPr>
          <w:b w:val="0"/>
          <w:bCs w:val="0"/>
          <w:rtl w:val="0"/>
          <w:lang w:val="en-US"/>
        </w:rPr>
        <w:t>340619.3 seconds/(60 seconds * 60 minutes) = 94.6 hours</w:t>
      </w:r>
    </w:p>
    <w:p>
      <w:pPr>
        <w:pStyle w:val="Body"/>
        <w:rPr>
          <w:b w:val="1"/>
          <w:bCs w:val="1"/>
        </w:rPr>
      </w:pPr>
    </w:p>
    <w:p>
      <w:pPr>
        <w:pStyle w:val="Body"/>
        <w:rPr>
          <w:b w:val="1"/>
          <w:bCs w:val="1"/>
        </w:rPr>
      </w:pPr>
    </w:p>
    <w:p>
      <w:pPr>
        <w:pStyle w:val="Body"/>
        <w:rPr>
          <w:b w:val="1"/>
          <w:bCs w:val="1"/>
        </w:rPr>
      </w:pPr>
      <w:r>
        <w:rPr>
          <w:b w:val="1"/>
          <w:bCs w:val="1"/>
          <w:rtl w:val="0"/>
          <w:lang w:val="en-US"/>
        </w:rPr>
        <w:t>5. Interaction of the solar wind with Earth</w:t>
      </w:r>
      <w:r>
        <w:rPr>
          <w:rFonts w:hAnsi="Helvetica" w:hint="default"/>
          <w:b w:val="1"/>
          <w:bCs w:val="1"/>
          <w:rtl w:val="0"/>
          <w:lang w:val="en-US"/>
        </w:rPr>
        <w:t>’</w:t>
      </w:r>
      <w:r>
        <w:rPr>
          <w:b w:val="1"/>
          <w:bCs w:val="1"/>
          <w:rtl w:val="0"/>
          <w:lang w:val="en-US"/>
        </w:rPr>
        <w:t>s atmosphere:</w:t>
      </w:r>
    </w:p>
    <w:p>
      <w:pPr>
        <w:pStyle w:val="Body"/>
        <w:rPr>
          <w:b w:val="1"/>
          <w:bCs w:val="1"/>
        </w:rPr>
      </w:pPr>
    </w:p>
    <w:p>
      <w:pPr>
        <w:pStyle w:val="Body"/>
        <w:rPr>
          <w:b w:val="1"/>
          <w:bCs w:val="1"/>
        </w:rPr>
      </w:pPr>
      <w:r>
        <w:rPr>
          <w:b w:val="1"/>
          <w:bCs w:val="1"/>
          <w:rtl w:val="0"/>
          <w:lang w:val="en-US"/>
        </w:rPr>
        <w:t xml:space="preserve">a) </w:t>
      </w:r>
      <w:r>
        <w:rPr>
          <w:b w:val="0"/>
          <w:bCs w:val="0"/>
          <w:rtl w:val="0"/>
          <w:lang w:val="en-US"/>
        </w:rPr>
        <w:t xml:space="preserve">The Kp index is 2 now. It is captioned as quiet. </w:t>
      </w:r>
    </w:p>
    <w:p>
      <w:pPr>
        <w:pStyle w:val="Body"/>
        <w:rPr>
          <w:b w:val="1"/>
          <w:bCs w:val="1"/>
        </w:rPr>
      </w:pPr>
      <w:r>
        <w:rPr>
          <w:b w:val="1"/>
          <w:bCs w:val="1"/>
          <w:rtl w:val="0"/>
          <w:lang w:val="en-US"/>
        </w:rPr>
        <w:t xml:space="preserve">b) </w:t>
      </w:r>
      <w:r>
        <w:rPr>
          <w:b w:val="0"/>
          <w:bCs w:val="0"/>
          <w:rtl w:val="0"/>
          <w:lang w:val="en-US"/>
        </w:rPr>
        <w:t>The KP index is not predicted to be high tomorrow, on March 4th. Its predicted maximum is 3.</w:t>
      </w:r>
      <w:r>
        <w:rPr>
          <w:b w:val="0"/>
          <w:bCs w:val="0"/>
        </w:rPr>
        <w:drawing>
          <wp:anchor distT="152400" distB="152400" distL="152400" distR="152400" simplePos="0" relativeHeight="251666432" behindDoc="0" locked="0" layoutInCell="1" allowOverlap="1">
            <wp:simplePos x="0" y="0"/>
            <wp:positionH relativeFrom="margin">
              <wp:posOffset>488950</wp:posOffset>
            </wp:positionH>
            <wp:positionV relativeFrom="line">
              <wp:posOffset>241300</wp:posOffset>
            </wp:positionV>
            <wp:extent cx="3703320" cy="370332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0">
                      <a:extLst/>
                    </a:blip>
                    <a:stretch>
                      <a:fillRect/>
                    </a:stretch>
                  </pic:blipFill>
                  <pic:spPr>
                    <a:xfrm>
                      <a:off x="0" y="0"/>
                      <a:ext cx="3703320" cy="370332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r>
        <w:rPr>
          <w:b w:val="1"/>
          <w:bCs w:val="1"/>
          <w:rtl w:val="0"/>
          <w:lang w:val="en-US"/>
        </w:rPr>
        <w:t>c)</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0"/>
          <w:bCs w:val="0"/>
          <w:rtl w:val="0"/>
          <w:lang w:val="en-US"/>
        </w:rPr>
        <w:t xml:space="preserve">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mc:AlternateContent>
          <mc:Choice Requires="wps">
            <w:drawing>
              <wp:anchor distT="152400" distB="152400" distL="152400" distR="152400" simplePos="0" relativeHeight="251667456" behindDoc="0" locked="0" layoutInCell="1" allowOverlap="1">
                <wp:simplePos x="0" y="0"/>
                <wp:positionH relativeFrom="margin">
                  <wp:posOffset>825499</wp:posOffset>
                </wp:positionH>
                <wp:positionV relativeFrom="line">
                  <wp:posOffset>307340</wp:posOffset>
                </wp:positionV>
                <wp:extent cx="3012440" cy="1290320"/>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3012440" cy="1290320"/>
                        </a:xfrm>
                        <a:prstGeom prst="rect">
                          <a:avLst/>
                        </a:prstGeom>
                        <a:noFill/>
                        <a:ln w="12700" cap="flat">
                          <a:solidFill>
                            <a:srgbClr val="000000"/>
                          </a:solidFill>
                          <a:prstDash val="solid"/>
                          <a:miter lim="400000"/>
                        </a:ln>
                        <a:effectLst/>
                      </wps:spPr>
                      <wps:txbx>
                        <w:txbxContent>
                          <w:p>
                            <w:pPr>
                              <w:pStyle w:val="Body"/>
                              <w:rPr>
                                <w:b w:val="1"/>
                                <w:bCs w:val="1"/>
                              </w:rPr>
                            </w:pPr>
                            <w:r>
                              <w:rPr>
                                <w:b w:val="1"/>
                                <w:bCs w:val="1"/>
                                <w:rtl w:val="0"/>
                                <w:lang w:val="en-US"/>
                              </w:rPr>
                              <w:t>Auroral Forecast (March 3rd, 2015)</w:t>
                            </w:r>
                          </w:p>
                          <w:p>
                            <w:pPr>
                              <w:pStyle w:val="Body"/>
                              <w:bidi w:val="0"/>
                            </w:pPr>
                            <w:r>
                              <w:rPr>
                                <w:rFonts w:ascii="Helvetica" w:cs="Arial Unicode MS" w:hAnsi="Arial Unicode MS" w:eastAsia="Arial Unicode MS"/>
                                <w:rtl w:val="0"/>
                              </w:rPr>
                              <w:t xml:space="preserve">Source: NASA - </w:t>
                            </w:r>
                            <w:hyperlink r:id="rId11" w:history="1">
                              <w:r>
                                <w:rPr>
                                  <w:rStyle w:val="Hyperlink.0"/>
                                  <w:rFonts w:ascii="Helvetica" w:cs="Arial Unicode MS" w:hAnsi="Arial Unicode MS" w:eastAsia="Arial Unicode MS"/>
                                  <w:rtl w:val="0"/>
                                </w:rPr>
                                <w:t>spaceweather.com</w:t>
                              </w:r>
                            </w:hyperlink>
                            <w:r>
                              <w:rPr>
                                <w:rFonts w:ascii="Helvetica" w:cs="Arial Unicode MS" w:hAnsi="Arial Unicode MS" w:eastAsia="Arial Unicode MS"/>
                                <w:rtl w:val="0"/>
                              </w:rPr>
                              <w:t xml:space="preserve"> (NOAA/Ovation)</w:t>
                            </w:r>
                          </w:p>
                          <w:p>
                            <w:pPr>
                              <w:pStyle w:val="Body"/>
                              <w:bidi w:val="0"/>
                            </w:pPr>
                            <w:hyperlink r:id="rId12" w:history="1">
                              <w:r>
                                <w:rPr>
                                  <w:rStyle w:val="Hyperlink.0"/>
                                  <w:rFonts w:ascii="Helvetica" w:cs="Arial Unicode MS" w:hAnsi="Arial Unicode MS" w:eastAsia="Arial Unicode MS"/>
                                  <w:rtl w:val="0"/>
                                </w:rPr>
                                <w:t>http://services.swpc.noaa.gov/images/aurora-forecast-northern-hemisphere.png</w:t>
                              </w:r>
                            </w:hyperlink>
                          </w:p>
                          <w:p>
                            <w:pPr>
                              <w:pStyle w:val="Body"/>
                              <w:bidi w:val="0"/>
                            </w:pPr>
                            <w:r>
                              <w:rPr>
                                <w:rFonts w:ascii="Helvetica" w:cs="Arial Unicode MS" w:hAnsi="Arial Unicode MS" w:eastAsia="Arial Unicode MS"/>
                                <w:rtl w:val="0"/>
                              </w:rPr>
                              <w:t>(Accessed: 3/3/2015)</w:t>
                            </w:r>
                          </w:p>
                        </w:txbxContent>
                      </wps:txbx>
                      <wps:bodyPr wrap="square" lIns="0" tIns="0" rIns="0" bIns="0" numCol="1" anchor="t">
                        <a:noAutofit/>
                      </wps:bodyPr>
                    </wps:wsp>
                  </a:graphicData>
                </a:graphic>
              </wp:anchor>
            </w:drawing>
          </mc:Choice>
          <mc:Fallback>
            <w:pict>
              <v:rect id="_x0000_s1030" style="visibility:visible;position:absolute;margin-left:65.0pt;margin-top:24.2pt;width:237.2pt;height:101.6pt;z-index:2516674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rPr>
                          <w:b w:val="1"/>
                          <w:bCs w:val="1"/>
                        </w:rPr>
                      </w:pPr>
                      <w:r>
                        <w:rPr>
                          <w:b w:val="1"/>
                          <w:bCs w:val="1"/>
                          <w:rtl w:val="0"/>
                          <w:lang w:val="en-US"/>
                        </w:rPr>
                        <w:t>Auroral Forecast (March 3rd, 2015)</w:t>
                      </w:r>
                    </w:p>
                    <w:p>
                      <w:pPr>
                        <w:pStyle w:val="Body"/>
                        <w:bidi w:val="0"/>
                      </w:pPr>
                      <w:r>
                        <w:rPr>
                          <w:rFonts w:ascii="Helvetica" w:cs="Arial Unicode MS" w:hAnsi="Arial Unicode MS" w:eastAsia="Arial Unicode MS"/>
                          <w:rtl w:val="0"/>
                        </w:rPr>
                        <w:t xml:space="preserve">Source: NASA - </w:t>
                      </w:r>
                      <w:hyperlink r:id="rId11" w:history="1">
                        <w:r>
                          <w:rPr>
                            <w:rStyle w:val="Hyperlink.0"/>
                            <w:rFonts w:ascii="Helvetica" w:cs="Arial Unicode MS" w:hAnsi="Arial Unicode MS" w:eastAsia="Arial Unicode MS"/>
                            <w:rtl w:val="0"/>
                          </w:rPr>
                          <w:t>spaceweather.com</w:t>
                        </w:r>
                      </w:hyperlink>
                      <w:r>
                        <w:rPr>
                          <w:rFonts w:ascii="Helvetica" w:cs="Arial Unicode MS" w:hAnsi="Arial Unicode MS" w:eastAsia="Arial Unicode MS"/>
                          <w:rtl w:val="0"/>
                        </w:rPr>
                        <w:t xml:space="preserve"> (NOAA/Ovation)</w:t>
                      </w:r>
                    </w:p>
                    <w:p>
                      <w:pPr>
                        <w:pStyle w:val="Body"/>
                        <w:bidi w:val="0"/>
                      </w:pPr>
                      <w:hyperlink r:id="rId12" w:history="1">
                        <w:r>
                          <w:rPr>
                            <w:rStyle w:val="Hyperlink.0"/>
                            <w:rFonts w:ascii="Helvetica" w:cs="Arial Unicode MS" w:hAnsi="Arial Unicode MS" w:eastAsia="Arial Unicode MS"/>
                            <w:rtl w:val="0"/>
                          </w:rPr>
                          <w:t>http://services.swpc.noaa.gov/images/aurora-forecast-northern-hemisphere.png</w:t>
                        </w:r>
                      </w:hyperlink>
                    </w:p>
                    <w:p>
                      <w:pPr>
                        <w:pStyle w:val="Body"/>
                        <w:bidi w:val="0"/>
                      </w:pPr>
                      <w:r>
                        <w:rPr>
                          <w:rFonts w:ascii="Helvetica" w:cs="Arial Unicode MS" w:hAnsi="Arial Unicode MS" w:eastAsia="Arial Unicode MS"/>
                          <w:rtl w:val="0"/>
                        </w:rPr>
                        <w:t>(Accessed: 3/3/2015)</w:t>
                      </w:r>
                    </w:p>
                  </w:txbxContent>
                </v:textbox>
                <w10:wrap type="topAndBottom" side="bothSides" anchorx="margin"/>
              </v:rect>
            </w:pict>
          </mc:Fallback>
        </mc:AlternateConten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0"/>
          <w:bCs w:val="0"/>
        </w:rPr>
      </w:pPr>
      <w:r>
        <w:rPr>
          <w:b w:val="1"/>
          <w:bCs w:val="1"/>
          <w:rtl w:val="0"/>
          <w:lang w:val="en-US"/>
        </w:rPr>
        <w:t xml:space="preserve">d) </w:t>
      </w:r>
      <w:r>
        <w:rPr>
          <w:b w:val="0"/>
          <w:bCs w:val="0"/>
          <w:rtl w:val="0"/>
          <w:lang w:val="en-US"/>
        </w:rPr>
        <w:t>The video forecast shows that the farthest south the aurora will be visible is in the very northern part of Maine and the northern and central parts of the nordic countries.</w:t>
      </w:r>
    </w:p>
    <w:p>
      <w:pPr>
        <w:pStyle w:val="Body"/>
        <w:rPr>
          <w:b w:val="1"/>
          <w:bCs w:val="1"/>
        </w:rPr>
      </w:pPr>
    </w:p>
    <w:p>
      <w:pPr>
        <w:pStyle w:val="Body"/>
        <w:rPr>
          <w:b w:val="0"/>
          <w:bCs w:val="0"/>
        </w:rPr>
      </w:pPr>
      <w:r>
        <w:rPr>
          <w:b w:val="1"/>
          <w:bCs w:val="1"/>
          <w:rtl w:val="0"/>
          <w:lang w:val="en-US"/>
        </w:rPr>
        <w:t xml:space="preserve">e) </w:t>
      </w:r>
      <w:r>
        <w:rPr>
          <w:b w:val="0"/>
          <w:bCs w:val="0"/>
          <w:rtl w:val="0"/>
          <w:lang w:val="en-US"/>
        </w:rPr>
        <w:t xml:space="preserve">Based on our knowledge of excited atoms, it would make sense that different color auroras depend on the amount of energy that arrives  from the sun in geomagnetic storms. If we have a larger and more energetic storm, it would make sense that more energy is absorbed and reemitted as greens or even blues. If it is a weaker storm, we may see redder colors in the sky from lower energy photons being reemitted from the atoms in the atmosphere. </w:t>
      </w:r>
    </w:p>
    <w:p>
      <w:pPr>
        <w:pStyle w:val="Body"/>
        <w:rPr>
          <w:b w:val="1"/>
          <w:bCs w:val="1"/>
        </w:rPr>
      </w:pPr>
      <w:r>
        <w:rPr>
          <w:b w:val="0"/>
          <w:bCs w:val="0"/>
          <w:rtl w:val="0"/>
          <w:lang w:val="en-US"/>
        </w:rPr>
        <w:t>(as a side note, I</w:t>
      </w:r>
      <w:r>
        <w:rPr>
          <w:rFonts w:hAnsi="Helvetica" w:hint="default"/>
          <w:b w:val="0"/>
          <w:bCs w:val="0"/>
          <w:rtl w:val="0"/>
          <w:lang w:val="en-US"/>
        </w:rPr>
        <w:t>’</w:t>
      </w:r>
      <w:r>
        <w:rPr>
          <w:b w:val="0"/>
          <w:bCs w:val="0"/>
          <w:rtl w:val="0"/>
          <w:lang w:val="en-US"/>
        </w:rPr>
        <w:t>m glad this is being cleared up. I saw a red aurora when I was little and was confused because I thought they were always green</w:t>
      </w:r>
      <w:r>
        <w:rPr>
          <w:rFonts w:hAnsi="Helvetica" w:hint="default"/>
          <w:b w:val="0"/>
          <w:bCs w:val="0"/>
          <w:rtl w:val="0"/>
          <w:lang w:val="en-US"/>
        </w:rPr>
        <w:t>…</w:t>
      </w:r>
      <w:r>
        <w:rPr>
          <w:b w:val="0"/>
          <w:bCs w:val="0"/>
          <w:rtl w:val="0"/>
          <w:lang w:val="en-US"/>
        </w:rPr>
        <w:t>)</w:t>
      </w:r>
    </w:p>
    <w:p>
      <w:pPr>
        <w:pStyle w:val="Body"/>
        <w:rPr>
          <w:b w:val="1"/>
          <w:bCs w:val="1"/>
        </w:rPr>
      </w:pPr>
    </w:p>
    <w:p>
      <w:pPr>
        <w:pStyle w:val="Body"/>
        <w:rPr>
          <w:b w:val="1"/>
          <w:bCs w:val="1"/>
        </w:rPr>
      </w:pPr>
    </w:p>
    <w:p>
      <w:pPr>
        <w:pStyle w:val="Body"/>
        <w:rPr>
          <w:b w:val="1"/>
          <w:bCs w:val="1"/>
        </w:rPr>
      </w:pPr>
      <w:r>
        <w:rPr>
          <w:b w:val="1"/>
          <w:bCs w:val="1"/>
        </w:rPr>
        <w:tab/>
        <w:tab/>
        <w:tab/>
      </w:r>
    </w:p>
    <w:p>
      <w:pPr>
        <w:pStyle w:val="Body"/>
        <w:rPr>
          <w:b w:val="1"/>
          <w:bCs w:val="1"/>
        </w:rPr>
      </w:pPr>
      <w:r>
        <w:rPr>
          <w:b w:val="1"/>
          <w:bCs w:val="1"/>
        </w:rPr>
        <w:tab/>
        <w:tab/>
      </w:r>
    </w:p>
    <w:p>
      <w:pPr>
        <w:pStyle w:val="Body"/>
      </w:pPr>
      <w:r>
        <w:rPr>
          <w:b w:val="1"/>
          <w:bCs w:val="1"/>
        </w:rPr>
        <w:tab/>
        <w:tab/>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www.swpc.noaa.gov/products/solar-cycle-progression" TargetMode="External"/><Relationship Id="rId6" Type="http://schemas.openxmlformats.org/officeDocument/2006/relationships/image" Target="media/image2.png"/><Relationship Id="rId7" Type="http://schemas.openxmlformats.org/officeDocument/2006/relationships/hyperlink" Target="http://sohowww.nascom.nasa.gov//data/REPROCESSING/Completed/2000/mdimag/20001222/20001222_0451_mdimag_512.jpg" TargetMode="External"/><Relationship Id="rId8" Type="http://schemas.openxmlformats.org/officeDocument/2006/relationships/image" Target="media/image3.png"/><Relationship Id="rId9" Type="http://schemas.openxmlformats.org/officeDocument/2006/relationships/hyperlink" Target="http://sohowww.nascom.nasa.gov//data/REPROCESSING/Completed/2012/hmimag/20120826/20120826_0300_hmimag_512.jpg" TargetMode="External"/><Relationship Id="rId10" Type="http://schemas.openxmlformats.org/officeDocument/2006/relationships/image" Target="media/image4.png"/><Relationship Id="rId11" Type="http://schemas.openxmlformats.org/officeDocument/2006/relationships/hyperlink" Target="http://spaceweather.com" TargetMode="External"/><Relationship Id="rId12" Type="http://schemas.openxmlformats.org/officeDocument/2006/relationships/hyperlink" Target="http://services.swpc.noaa.gov/images/aurora-forecast-northern-hemisphere.png"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