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7E6A0" w14:textId="0E337093" w:rsidR="000D0E7A" w:rsidRDefault="007D0431">
      <w:r>
        <w:t xml:space="preserve">Design and fully specify an enterprise-grade Corporate Funding, Grant, and In-Kind Contribution Application Automation System as an integrated downstream execution subsystem of the existing Benavora Enterprise Agentic Prospect Intelligence Layer. This must not be designed as a disconnected product, an independent intelligence fleet, or a duplicate set of prospect-research agents. It must extend and operationalize the existing PIL by turning qualified corporate opportunities into completed, validated, submitted, monitored, and continuously learned funding and contribution applications. Before creating any new agent, thoroughly inspect and reconcile the complete existing architecture, including: - The canonical agent registry - Every completed agent specification - The deterministic service registry - Shared versioned contracts - Canonical schemas and entity models - Evidence and provenance architecture - Knowledge, memory, and learning architecture - Event taxonomy and event envelopes - Workflow and state-machine definitions - Policy and autonomy controls - Tenant-isolation requirements - Credential and secrets-management requirements - Economic and resource-governance controls - Supervisory and fleet-operations architecture - Recovery, observability, audit, and escalation systems - Chain-It manifests, dependency gates, release manifests, and constitutional requirements Reconcile the current discrepancy between the canonical 44-agent registry and any presentation or documentation describing 45 agents. Establish one authoritative count and explain the resolution before extending the fleet. Core business purpose The subsystem’s purpose is to continuously identify, qualify, pursue, submit, monitor, and learn from corporate charitable-giving opportunities on behalf of authorized 501(c)(3) nonprofit organizations. It must populate and continuously refresh an actionable prospect pipeline containing corporations, corporate foundations, brands, subsidiaries, regional divisions, dealerships, retailers, manufacturers, suppliers, financial institutions, utilities, healthcare organizations, technology companies, construction-material manufacturers, logistics companies, and other businesses that operate charitable-giving or community-engagement programs. The system must discover companies with relevant pages, portals, programs, or processes such as: - Community engagement - Community investment - Corporate social responsibility - Corporate citizenship - Charitable giving - Corporate philanthropy - Corporate foundation grants - Local community grants - Sponsorship requests - Donation requests - Nonprofit partnerships - Employee-directed giving - Matching-gift programs - Volunteer grants - Disaster-response contributions - Community-development funding - Affordable-housing support - Veterans’ initiatives - Reentry and recovery programs - Education and workforce-development programs - Homelessness-response programs - Economic-mobility initiatives - Product-donation programs - Equipment-donation programs - Vehicle-donation programs - Building-material donations - Technology and software donations - Food, clothing, furnishings, tools, and supplies - Professional or technical services - Transportation and logistics support - Land, </w:t>
      </w:r>
      <w:r>
        <w:lastRenderedPageBreak/>
        <w:t>facility, or real-estate assistance - Financial grants, sponsorships, and unrestricted contributions - Any other permissible monetary or in-kind contribution vehicle relevant to an eligible nonprofit The system is not limited to conventional grant applications. It must recognize that corporations may provide value through money, vehicles, construction materials, equipment, technology, licenses, professional services, volunteer labor, logistics, facilities, sponsorships, products, or other in-kind assets. Complete operational lifecycle The subsystem must support the following end-to-end lifecycle. 1. Corporate lead acquisition and pipeline population Continuously receive, discover, import, normalize, and enrich corporate leads from authorized data sources and the existing PIL. Each corporate record should identify, when available: - Canonical corporate identity - Parent company and subsidiaries - Brands, divisions, franchises, and regional operations - Corporate foundation relationships - Headquarters and operating geographies - Community-engagement URLs - Giving-program URLs - Application portals - Program categories - Contribution types - Geographic restrictions - Eligibility requirements - Deadlines and application windows - Estimated contribution value - Required nonprofit documentation - Contact information - Portal vendor or platform - Prior interactions and applications - Evidence, sources, timestamps, and confidence levels Existing PIL discovery, identity-resolution, intelligence, relationship, qualification, strategy, and knowledge-integrity agents must be reused wherever their current authority and contracts cover these functions. 2. Community-engagement and opportunity discovery Inspect authorized public corporate websites and discover relevant community-engagement, charitable-giving, sponsorship, foundation, donation, and in-kind contribution pages. The system must distinguish among: - Open application programs - Invitation-only programs - Local or regional programs - Corporate-foundation programs - Store-level or branch-level donations - Dealership or franchise programs - Sponsorship applications - Product-donation requests - Employee-nomination programs - Rolling applications - Fixed application windows - Programs requiring preliminary inquiries - Programs administered through third-party grant portals - Programs that are informational only - Programs that are closed, expired, suspended, or no longer offered It must preserve source evidence and avoid treating an inferred opportunity as a confirmed application path without adequate evidence. 3. Eligibility and strategic qualification Compare every opportunity with the applying nonprofit’s verified organizational profile, including: - IRS tax-exempt status - Geographic service area - Mission and program alignment - Beneficiary populations - Organizational history - Financial condition - Requested contribution - Intended use of funds or property - Prior outcomes and measurable impact - Required registrations - Exclusion criteria - Application deadlines - Submission effort - Potential value - Probability of success - Relationship strength - Evidence quality - Compliance or reputational risk Only qualified opportunities should advance into application execution. Rejections, deferrals, uncertainties, and missing prerequisites must be recorded with reason codes and supporting evidence. 4. Authorized account registration For qualifying opportunities requiring an account, the system must: - Navigate to the legitimate registration portal - Determine whether organizational registration is permitted - Use accurate, tenant-authorized nonprofit information - Generate or retrieve an authorized account identifier - Create and securely store unique credentials - Accept only authorized and reviewable terms - Record the portal, username, tenant, credential reference, creation timestamp, and evidence - Detect duplicate or previously existing accounts - Recover abandoned or incomplete registration attempts - Prevent multiple conflicting accounts for the same organization and portal Credentials must be stored through an enterprise secrets-management system and must never appear in ordinary logs, prompts, screenshots, events, or model memory. 5. Email confirmation and account activation The system must integrate with a dedicated, authorized organizational mailbox to: - Detect registration-confirmation messages - Correlate each message with the correct tenant, portal, account, and workflow - Identify legitimate confirmation links - Validate sender, domain, link destination, and expiration risk - Open authorized confirmation links - Confirm account activation - Return to the portal - Authenticate using the newly established account - Handle expired confirmation links or request replacements - Preserve an auditable record of the activation without retaining unnecessary sensitive email content Unrelated email must not be accessed, processed, exposed, or incorporated into the system’s memory. 6. Portal authentication and session management After activation, the system must: - Log into the authorized corporate or third-party portal - Establish and securely manage the session - Detect expiration, lockout, password-reset, or authentication failures - Resume interrupted workflows without duplicating submissions - Maintain tenant and account separation - Detect multi-factor authentication or explicit human-verification requirements - Escalate challenges requiring an authorized person - Resume from a durable checkpoint after the authorized intervention The system must not defeat CAPTCHAs, evade anti-bot controls, circumvent access protections, conceal prohibited automation, or falsely represent automated activity as human activity. When a site requires human verification or prohibits the intended automation, the workflow must pause, preserve its state, request authorized human action, and resume only when permitted. 7. Application and form interpretation The system must identify and interpret the complete application experience, including: - Page instructions - Required and optional fields - Conditional questions - Character and word limits - Dropdowns, radio buttons, checkboxes, and date fields - Repeating sections - Program and project budgets - Requested contribution quantities - Geographic selections - Beneficiary demographics - Outcome and impact questions - Certifications and attestations - Authorized signatures - File-upload requirements - Save-and-return behavior - Progress indicators - Submission deadlines - Portal-specific validation rules It must transform the portal into a structured application model and retain enough evidence to explain how every field was understood and completed. 8. Application planning and content generation For each qualified opportunity, create a field-by-field application plan using only verified tenant information and approved organizational knowledge. The plan must determine: - The precise contribution being requested - Whether the request is monetary, in-kind, service-based, or a combination - The requested amount, quantity, valuation, or scope - The relevant nonprofit program or project - The intended use - Mission and program alignment - Expected beneficiaries - Measurable outcomes - Supporting budget - Required attachments - Authorized representations - Questions requiring human judgment - Submission-readiness gates Narratives must be tailored to the corporation and opportunity without inventing facts, exaggerating impact, fabricating relationships, or making unsupported commitments. 9. Nonprofit knowledge retrieval Retrieve approved facts from a tenant-specific canonical nonprofit knowledge base, including: - Legal name and assumed names - EIN - IRS determination information - Incorporation and registration data - Addresses and service regions - Mission and organizational description - Programs and target populations - Leadership and board information - Financial statements and budgets - Policies and governance records - Impact metrics - Prior accomplishments - Project descriptions - Authorized contact information - Banking or payment details where expressly required and securely handled - Standard narratives - Approved signatures - Supporting documentation - Tenant-specific restrictions and approval policies Every factual assertion must be traceable to an approved source, version, tenant, and effective date. 10. Document selection and assembly Select, generate, validate, and upload the appropriate materials, potentially including: - IRS determination letter - Form 990 or applicable filings - Organizational budget - Program or project budget - Board roster - Leadership biographies - Articles and bylaws - Certificates of good standing - Audited or internally prepared financial statements - Annual reports - Program descriptions - Impact reports - Project timelines - Letters of support - Photographs - Vendor estimates - Construction or material requirements - Vehicle-use justifications - Sponsorship materials - W-9 - ACH or payment documentation where permitted - Other portal-specific attachments The system must validate document identity, version, date, tenant, sensitivity, file type, file size, and relevance before upload. 11. Automated form completion Using an approved browser-automation service, the system must: - Enter verified organizational information - Complete narratives - Select appropriate responses - Populate budget and request fields - Upload validated documents - Handle conditional sections - Save progress - Recheck the complete application - Detect portal-side validation errors - Correct recoverable errors - Preserve field-level provenance - Avoid duplicate applications - Recover safely from browser, network, session, or portal failures Browser workers, parsers, page extractors, email listeners, queues, schedulers, credential vaults, document stores, CAPTCHA detectors, screenshot systems, and retry engines should be classified as deterministic services unless they independently satisfy the project’s canonical definition of a genuine agent. 12. Validation, authorization, and submission Before submission, perform independent checks for: - Factual accuracy - Internal consistency - Eligibility - Completeness - Narrative quality - Budget consistency - Correct contribution type - Correct request value or quantity - Attachment completeness - Character and word limits - Duplicate submission risk - Tenant authorization - Required board or officer approval - Legal attestations - Electronic signatures - Portal terms - Deadline compliance - Reputational and policy risk Any certification, signature, representation, consent, or attestation that requires personal knowledge or delegated legal authority must be routed to an authorized human. Submission may occur automatically only when: - The tenant has expressly authorized that class of submission - All policy and quality gates pass - No unresolved factual uncertainty remains - No prohibited human-only certification is present - The portal permits the applicable automation - The submission decision is within the system’s delegated authority 13. Confirmation and evidence preservation After submission, capture and preserve: - Confirmation number - Submission timestamp - Portal and opportunity identity - Submitted answers - Uploaded document versions - Requested amount or item - Contribution category - Screenshots or rendered evidence - Confirmation email - Downloadable submitted application - Follow-up requirements - Decision timeline - Contact information - Complete audit history - Idempotency and correlation identifiers The system must be able to prove precisely what was submitted, by which tenant, under what authority, based on which evidence, and through which workflow version. 14. CRM synchronization and lifecycle tracking Write the complete application record back into Benavora’s CRM and prospect intelligence graph. Track states such as: - Discovered - Under investigation - Qualified - Disqualified - Registration required - Account created - Email confirmation pending - Account active - Application available - Drafting - Awaiting documents - Awaiting human input - Awaiting authorization - Ready for submission - Submitted - Additional information requested - Under review - Approved - Partially approved - Declined - Award received - In-kind contribution received - Reporting required - Closed - Eligible for reapplication State transitions must be durable, idempotent, explainable, and event-driven. 15. Communications and follow-up Monitor authorized communication channels for: - Confirmation emails - Requests for additional information - Portal notifications - Deadline reminders - Approval or decline notices - Award agreements - Payment instructions - Product or vehicle fulfillment instructions - Shipping and delivery coordination - Reporting obligations - Renewal or reapplication opportunities Classify each communication, correlate it with the correct application, and either act within delegated authority or route it to an authorized person. 16. Outcome learning and continuous optimization Return structured outcomes to the existing PIL so its agents can improve: - Corporate-source selection - Opportunity discovery - Eligibility assessment - Contribution-type matching - Qualification thresholds - Opportunity scoring - Relationship strategy - Narrative strategy - Requested amounts and quantities - Application timing - Document readiness - Portal navigation - Failure recovery - Follow-up timing - Approval-probability estimates Learning must be evidence-based, tenant-isolated, reversible, versioned, and protected against contamination from unverified assumptions or one-off portal behavior. Required architectural analysis before agent creation Produce a comprehensive capability-overlap and ownership matrix for every responsibility described above. For each capability, identify: 1. The existing PIL agent that already owns the reasoning responsibility 2. Any existing agent that should be extended 3. The deterministic service or tool that should execute the mechanical work 4. The authoritative input and output contracts 5. The events consumed and emitted 6. The system of record 7. The autonomy level 8. The applicable policy gates 9. Human-authorization requirements 10. Failure and recovery ownership 11. Evidence and observability requirements 12. Whether a genuine new agent is actually justified Do not create separate agents merely for account registration, email confirmation, credential storage, field entry, screenshots, queues, retries, or CRM updates when those functions are better implemented as deterministic services governed by existing or newly justified agents. A new agent may be created only when the capability requires an independently bounded goal, contextual reasoning, planning, tool selection, adaptive action, result evaluation, replanning, recovery, memory, measurable success criteria, and clearly defined authority that cannot be coherently assigned to an existing agent. Expected architectural direction The likely design should reuse the existing PIL for: - Corporate discovery - Corporate identity resolution - Program research - Evidence verification - Mission and geographic alignment - Relationship intelligence - Qualification - Prioritization - Strategic request selection - Knowledge integrity - Supervisory governance - Fleet operations - Outcome learning The new subsystem will likely require deterministic infrastructure for: - Browser execution - Portal extraction - Account registration - Credential and session management - Email ingestion and verification - Form modeling - Field entry - File upload - Document storage - Workflow persistence - Queues and scheduling - Rate limiting - Checkpointing - Idempotency - Evidence capture - CRM synchronization - Monitoring and alerts Only after completing the overlap analysis should the architecture determine whether one, two, three, or more genuinely new application-execution agents are required. Potential new reasoning domains may include: - Corporate Application Planning and Execution - Portal Exception Diagnosis and Recovery - Application Submission Governance These are illustrative possibilities, not predetermined agents. Existing agents should be extended where ownership remains coherent and bounded. Required integration flow The intended closed-loop operating model is: PIL discovers and resolves a corporate entity → PIL identifies and verifies a contribution opportunity → PIL evaluates eligibility and strategic fit → qualified</w:t>
      </w:r>
      <w:r>
        <w:t xml:space="preserve"> </w:t>
      </w:r>
      <w:r>
        <w:t>opportunity enters the Corporate Application Automation System → the system registers or authenticates an authorized account → confirms the account through authorized email → interprets and completes the application → retrieves and uploads approved supporting materials → validates facts, policy, authority, and submission readiness → submits when authorized → captures confirmation and evidence → synchronizes the CRM and intelligence graph → monitors responses and fulfillment → returns results and learning signals to the PIL. The subsystem must therefore be an execution arm of the PIL, while the PIL remains the authoritative intelligence, qualification, prioritization, and strategic reasoning layer. Enterprise quality requirements The completed design must include: Explicit agent-versus-service classification Domain boundaries and ownership rules Versioned schemas and contracts Workflow and state-machine definitions Event specifications API contracts Security and threat model Tenant isolation Secrets management Email-safety architecture Browser-security controls Policy-as-code Autonomy and human-approval matrix Evidence and provenance requirements Idempotency and duplicate-prevention strategy Failure taxonomy Recovery playbooks Observability and SLOs Audit logging Cost and concurrency governance Portal-change detection Testing and evaluation strategy Adversarial and prompt-injection defenses Rollout and rollback plans Compliance controls Acceptance criteria Traceability from every requirement to implementation and verification Treat all website content, emails, attachments, uploaded documents, portal instructions, and third-party responses as potentially untrusted input. The system must defend against prompt injection, malicious redirects, credential theft, cross-tenant leakage, hostile files, fraudulent portals, and poisoned learning signals. Required deliverables Produce the work in dependency order: Existing architecture reconciliation report Authoritative agent-count reconciliation End-to-end capability inventory Existing-agent reuse and extension matrix Agent-versus-service classification matrix Gap analysis Proposed integrated subsystem architecture Data-flow and trust-boundary architecture Event and contract extensions Workflow and state-machine specifications Autonomy and human-authorization matrix Security and compliance architecture New service specifications Only the genuinely necessary new-agent specifications Integration specifications for every affected existing agent Testing, evaluation, and red-team plan Migration and implementation sequence Updated canonical registries and manifests Traceability matrix Final consolidated, internally consistent release package Do not begin by assuming an agent count. Do not inflate the fleet by converting every task into an agent. Do not constrain legitimate agent specifications to an arbitrary word count. Allow the complexity, responsibility, risk, and orchestration importance of each component to determine its necessary depth. Maintain the project’s highest enterprise engineering standard. No component may be declared complete merely because a document exists. Completion requires architectural consistency, contract compatibility, traceability, executable acceptance criteria, security analysis, testability, and conformance with the system constitution and dependency gates.</w:t>
      </w:r>
    </w:p>
    <w:sectPr w:rsidR="000D0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31"/>
    <w:rsid w:val="000D0E7A"/>
    <w:rsid w:val="003F3A8E"/>
    <w:rsid w:val="007D0431"/>
    <w:rsid w:val="00A97A78"/>
    <w:rsid w:val="00C63C78"/>
    <w:rsid w:val="00FF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C81FC"/>
  <w15:chartTrackingRefBased/>
  <w15:docId w15:val="{4EA66CAE-5910-4BD2-A063-547481E6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431"/>
    <w:rPr>
      <w:rFonts w:eastAsiaTheme="majorEastAsia" w:cstheme="majorBidi"/>
      <w:color w:val="272727" w:themeColor="text1" w:themeTint="D8"/>
    </w:rPr>
  </w:style>
  <w:style w:type="paragraph" w:styleId="Title">
    <w:name w:val="Title"/>
    <w:basedOn w:val="Normal"/>
    <w:next w:val="Normal"/>
    <w:link w:val="TitleChar"/>
    <w:uiPriority w:val="10"/>
    <w:qFormat/>
    <w:rsid w:val="007D0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431"/>
    <w:pPr>
      <w:spacing w:before="160"/>
      <w:jc w:val="center"/>
    </w:pPr>
    <w:rPr>
      <w:i/>
      <w:iCs/>
      <w:color w:val="404040" w:themeColor="text1" w:themeTint="BF"/>
    </w:rPr>
  </w:style>
  <w:style w:type="character" w:customStyle="1" w:styleId="QuoteChar">
    <w:name w:val="Quote Char"/>
    <w:basedOn w:val="DefaultParagraphFont"/>
    <w:link w:val="Quote"/>
    <w:uiPriority w:val="29"/>
    <w:rsid w:val="007D0431"/>
    <w:rPr>
      <w:i/>
      <w:iCs/>
      <w:color w:val="404040" w:themeColor="text1" w:themeTint="BF"/>
    </w:rPr>
  </w:style>
  <w:style w:type="paragraph" w:styleId="ListParagraph">
    <w:name w:val="List Paragraph"/>
    <w:basedOn w:val="Normal"/>
    <w:uiPriority w:val="34"/>
    <w:qFormat/>
    <w:rsid w:val="007D0431"/>
    <w:pPr>
      <w:ind w:left="720"/>
      <w:contextualSpacing/>
    </w:pPr>
  </w:style>
  <w:style w:type="character" w:styleId="IntenseEmphasis">
    <w:name w:val="Intense Emphasis"/>
    <w:basedOn w:val="DefaultParagraphFont"/>
    <w:uiPriority w:val="21"/>
    <w:qFormat/>
    <w:rsid w:val="007D0431"/>
    <w:rPr>
      <w:i/>
      <w:iCs/>
      <w:color w:val="0F4761" w:themeColor="accent1" w:themeShade="BF"/>
    </w:rPr>
  </w:style>
  <w:style w:type="paragraph" w:styleId="IntenseQuote">
    <w:name w:val="Intense Quote"/>
    <w:basedOn w:val="Normal"/>
    <w:next w:val="Normal"/>
    <w:link w:val="IntenseQuoteChar"/>
    <w:uiPriority w:val="30"/>
    <w:qFormat/>
    <w:rsid w:val="007D0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431"/>
    <w:rPr>
      <w:i/>
      <w:iCs/>
      <w:color w:val="0F4761" w:themeColor="accent1" w:themeShade="BF"/>
    </w:rPr>
  </w:style>
  <w:style w:type="character" w:styleId="IntenseReference">
    <w:name w:val="Intense Reference"/>
    <w:basedOn w:val="DefaultParagraphFont"/>
    <w:uiPriority w:val="32"/>
    <w:qFormat/>
    <w:rsid w:val="007D04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3474</Words>
  <Characters>19804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Whitesides</dc:creator>
  <cp:keywords/>
  <dc:description/>
  <cp:lastModifiedBy>reid Whitesides</cp:lastModifiedBy>
  <cp:revision>1</cp:revision>
  <dcterms:created xsi:type="dcterms:W3CDTF">2026-08-27T18:26:00Z</dcterms:created>
  <dcterms:modified xsi:type="dcterms:W3CDTF">2026-08-27T20:57:00Z</dcterms:modified>
</cp:coreProperties>
</file>