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0" w:name="benavora-marketing-site-blueprint"/>
    <w:p>
      <w:pPr>
        <w:pStyle w:val="Heading1"/>
      </w:pPr>
      <w:r>
        <w:t xml:space="preserve">BENAVORA MARKETING SITE BLUEPRINT</w:t>
      </w:r>
    </w:p>
    <w:p>
      <w:pPr>
        <w:pStyle w:val="FirstParagraph"/>
      </w:pPr>
      <w:r>
        <w:t xml:space="preserve">Version 1.1 - 2026-08-21</w:t>
      </w:r>
      <w:r>
        <w:t xml:space="preserve"> </w:t>
      </w:r>
      <w:r>
        <w:t xml:space="preserve">Status: DRAFT v1.1 - design direction approved; pending Section 10 dates</w:t>
      </w:r>
      <w:r>
        <w:t xml:space="preserve"> </w:t>
      </w:r>
      <w:r>
        <w:t xml:space="preserve">Scope: public marketing, education, and demo-funnel layer. Zero changes to platform features, data model, or agents.</w:t>
      </w:r>
      <w:r>
        <w:t xml:space="preserve"> </w:t>
      </w:r>
      <w:r>
        <w:t xml:space="preserve">Governance: this document is the FORGE source of truth for all</w:t>
      </w:r>
      <w:r>
        <w:t xml:space="preserve"> </w:t>
      </w:r>
      <w:r>
        <w:rPr>
          <w:rStyle w:val="VerbatimChar"/>
        </w:rPr>
        <w:t xml:space="preserve">(marketing)</w:t>
      </w:r>
      <w:r>
        <w:t xml:space="preserve"> </w:t>
      </w:r>
      <w:r>
        <w:t xml:space="preserve">route group work. FEATURE_REGISTRY_v2.md and BLUEPRINT_v2.md continue to govern the application.</w:t>
      </w:r>
    </w:p>
    <w:p>
      <w:r>
        <w:pict>
          <v:rect style="width:0;height:1.5pt" o:hralign="center" o:hrstd="t" o:hr="t"/>
        </w:pict>
      </w:r>
    </w:p>
    <w:bookmarkStart w:id="20" w:name="objective"/>
    <w:p>
      <w:pPr>
        <w:pStyle w:val="Heading2"/>
      </w:pPr>
      <w:r>
        <w:t xml:space="preserve">1. Objective</w:t>
      </w:r>
    </w:p>
    <w:p>
      <w:pPr>
        <w:pStyle w:val="FirstParagraph"/>
      </w:pPr>
      <w:r>
        <w:t xml:space="preserve">Build a multi-page, interactive marketing and education site that funnels visitors to a booked demo or a sign-up by showing, not describing, what the platform does. The measure of success is demo bookings per unique visitor, not page count.</w:t>
      </w:r>
    </w:p>
    <w:p>
      <w:pPr>
        <w:pStyle w:val="BodyText"/>
      </w:pPr>
      <w:r>
        <w:t xml:space="preserve">Non-goals for v1: customer logos, testimonials, case studies, press (deferred until two external paying orgs consent to be named), integration detail pages, careers.</w:t>
      </w:r>
    </w:p>
    <w:bookmarkEnd w:id="20"/>
    <w:bookmarkStart w:id="21" w:name="architecture-decisions-binding"/>
    <w:p>
      <w:pPr>
        <w:pStyle w:val="Heading2"/>
      </w:pPr>
      <w:r>
        <w:t xml:space="preserve">2. Architecture decisions (binding)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Rationale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Marketing site stays in the benavora repo under</w:t>
            </w:r>
            <w:r>
              <w:t xml:space="preserve"> </w:t>
            </w:r>
            <w:r>
              <w:rPr>
                <w:rStyle w:val="VerbatimChar"/>
              </w:rPr>
              <w:t xml:space="preserve">src/app/(marketing)/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 22 pages the build cost is seconds; keeps recordings, fixtures, and screenshots beside the code that produced them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M-002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Content separated from code: one MDX file per page under</w:t>
            </w:r>
            <w:r>
              <w:t xml:space="preserve"> </w:t>
            </w:r>
            <w:r>
              <w:rPr>
                <w:rStyle w:val="VerbatimChar"/>
              </w:rPr>
              <w:t xml:space="preserve">content/marketing/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Copy edits never require a code change; FORGE generates pages from templates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M-003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Interactive demos run on frozen fixtures and recorded event streams, never live AutoApply, draft generation, or scraping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Anonymous visitors must never trigger real submissions under Faith Foundation identity; zero per-view API cost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M-004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Two live backend surfaces only: chatbot (</w:t>
            </w:r>
            <w:r>
              <w:rPr>
                <w:rStyle w:val="VerbatimChar"/>
              </w:rPr>
              <w:t xml:space="preserve">/api/public/assist</w:t>
            </w:r>
            <w:r>
              <w:t xml:space="preserve">) and demo booking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Everything else is client-side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M-005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Chatbot is one knowledge service, two surfaces: public (corpus only, demo CTA) and in-app (corpus + tenant tool calls)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 embeddings and retrieval; different system prompt and permission scope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M-006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Corpus lives in a dedicated</w:t>
            </w:r>
            <w:r>
              <w:t xml:space="preserve"> </w:t>
            </w:r>
            <w:r>
              <w:rPr>
                <w:rStyle w:val="VerbatimChar"/>
              </w:rPr>
              <w:t xml:space="preserve">knowledge</w:t>
            </w:r>
            <w:r>
              <w:t xml:space="preserve"> </w:t>
            </w:r>
            <w:r>
              <w:t xml:space="preserve">schema in the Benavora Supabase project, pgvector, RLS deny-all for tenant roles, read via service role 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 traffic never touches tenant schemas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M-007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 corpus document carries</w:t>
            </w:r>
            <w:r>
              <w:t xml:space="preserve"> </w:t>
            </w:r>
            <w:r>
              <w:rPr>
                <w:rStyle w:val="VerbatimChar"/>
              </w:rPr>
              <w:t xml:space="preserve">rights</w:t>
            </w:r>
            <w:r>
              <w:t xml:space="preserve"> </w:t>
            </w:r>
            <w:r>
              <w:t xml:space="preserve">=</w:t>
            </w:r>
            <w:r>
              <w:t xml:space="preserve"> </w:t>
            </w:r>
            <w:r>
              <w:rPr>
                <w:rStyle w:val="VerbatimChar"/>
              </w:rPr>
              <w:t xml:space="preserve">host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index</w:t>
            </w:r>
            <w:r>
              <w:t xml:space="preserve">, or</w:t>
            </w:r>
            <w:r>
              <w:t xml:space="preserve"> </w:t>
            </w:r>
            <w:r>
              <w:rPr>
                <w:rStyle w:val="VerbatimChar"/>
              </w:rPr>
              <w:t xml:space="preserve">link</w:t>
            </w:r>
            <w:r>
              <w:t xml:space="preserve">; chatbot retrieval answers only from</w:t>
            </w:r>
            <w:r>
              <w:t xml:space="preserve"> </w:t>
            </w:r>
            <w:r>
              <w:rPr>
                <w:rStyle w:val="VerbatimChar"/>
              </w:rPr>
              <w:t xml:space="preserve">host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index</w:t>
            </w:r>
            <w:r>
              <w:t xml:space="preserve">; public library pages render</w:t>
            </w:r>
            <w:r>
              <w:t xml:space="preserve"> </w:t>
            </w:r>
            <w:r>
              <w:rPr>
                <w:rStyle w:val="VerbatimChar"/>
              </w:rPr>
              <w:t xml:space="preserve">host</w:t>
            </w:r>
            <w:r>
              <w:t xml:space="preserve"> </w:t>
            </w:r>
            <w:r>
              <w:t xml:space="preserve">inline and</w:t>
            </w:r>
            <w:r>
              <w:t xml:space="preserve"> </w:t>
            </w:r>
            <w:r>
              <w:rPr>
                <w:rStyle w:val="VerbatimChar"/>
              </w:rPr>
              <w:t xml:space="preserve">link</w:t>
            </w:r>
            <w:r>
              <w:t xml:space="preserve"> </w:t>
            </w:r>
            <w:r>
              <w:t xml:space="preserve">as curated link + original summary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tag per row, decided at seed time, enforced in code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M-008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 shell untouched; marketing uses its own theme tokens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 UI and marketing are different moods on 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M-009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colors inline</w:t>
            </w:r>
            <w:r>
              <w:t xml:space="preserve"> </w:t>
            </w:r>
            <w:r>
              <w:rPr>
                <w:rStyle w:val="VerbatimChar"/>
              </w:rPr>
              <w:t xml:space="preserve">style={{}}</w:t>
            </w:r>
            <w:r>
              <w:t xml:space="preserve"> </w:t>
            </w:r>
            <w:r>
              <w:t xml:space="preserve">hex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globals.css compatibility layer overrides Tailwind color classes and CSS vars (standing constraint)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M-010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Zero emoji. ASCII-only source files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Standing constraint</w:t>
            </w:r>
          </w:p>
        </w:tc>
      </w:tr>
    </w:tbl>
    <w:bookmarkEnd w:id="21"/>
    <w:bookmarkStart w:id="22" w:name="Xe2220a3216cd218ed6a4417be87f2570dc6e3b6"/>
    <w:p>
      <w:pPr>
        <w:pStyle w:val="Heading2"/>
      </w:pPr>
      <w:r>
        <w:t xml:space="preserve">3. Design direction (APPROVED 2026-08-21 -</w:t>
      </w:r>
      <w:r>
        <w:t xml:space="preserve"> </w:t>
      </w:r>
      <w:r>
        <w:t xml:space="preserve">“</w:t>
      </w:r>
      <w:r>
        <w:t xml:space="preserve">Forest and paper</w:t>
      </w:r>
      <w:r>
        <w:t xml:space="preserve">”</w:t>
      </w:r>
      <w:r>
        <w:t xml:space="preserve">)</w:t>
      </w:r>
    </w:p>
    <w:p>
      <w:pPr>
        <w:pStyle w:val="FirstParagraph"/>
      </w:pPr>
      <w:r>
        <w:t xml:space="preserve">Deliberately distinct from the application’s navy/gold/bronze system. The gold wordmark is the only shared element.</w:t>
      </w:r>
    </w:p>
    <w:p>
      <w:pPr>
        <w:pStyle w:val="BodyText"/>
      </w:pPr>
      <w:r>
        <w:t xml:space="preserve">Marketing theme tokens (new file</w:t>
      </w:r>
      <w:r>
        <w:t xml:space="preserve"> </w:t>
      </w:r>
      <w:r>
        <w:rPr>
          <w:rStyle w:val="VerbatimChar"/>
        </w:rPr>
        <w:t xml:space="preserve">src/lib/marketing/theme.ts</w:t>
      </w:r>
      <w:r>
        <w:t xml:space="preserve">, exported constants, consumed as inline hex):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Token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forest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#1F3A2E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Hero band, footer, H1/H2, primary text on light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sage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#8FA68E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Secondary buttons, icons, dividers on forest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paper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#F7F5EF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Page background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surface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#FFFFFF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Cards, panels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terracotta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#C4663A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Primary CTA only, active-nav underline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terracottaHover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#A9532C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CTA hover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#2B2B28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Body text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muted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#6F6F69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Captions, secondary text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#DDD8CC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Borders, dividers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#E8EDE6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Alternating section background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heroText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#F7F5EF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 on forest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heroMuted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#B9C8B8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Secondary text on forest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wordmarkGold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#B88A2E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Logo only - never used elsewhere on marketing pages</w:t>
            </w:r>
          </w:p>
        </w:tc>
      </w:tr>
    </w:tbl>
    <w:p>
      <w:pPr>
        <w:pStyle w:val="BodyText"/>
      </w:pPr>
      <w:r>
        <w:t xml:space="preserve">Section differentiation is by layout and tint alternation (</w:t>
      </w:r>
      <w:r>
        <w:rPr>
          <w:rStyle w:val="VerbatimChar"/>
        </w:rPr>
        <w:t xml:space="preserve">paper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tint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surface</w:t>
      </w:r>
      <w:r>
        <w:t xml:space="preserve">), not by per-section hue. One accent (terracotta) sitewide; no app action colors on marketing pages.</w:t>
      </w:r>
    </w:p>
    <w:p>
      <w:pPr>
        <w:pStyle w:val="BodyText"/>
      </w:pPr>
      <w:r>
        <w:t xml:space="preserve">Typography: serif display face for H1/H2 (Fraunces via</w:t>
      </w:r>
      <w:r>
        <w:t xml:space="preserve"> </w:t>
      </w:r>
      <w:r>
        <w:rPr>
          <w:rStyle w:val="VerbatimChar"/>
        </w:rPr>
        <w:t xml:space="preserve">next/font/google</w:t>
      </w:r>
      <w:r>
        <w:t xml:space="preserve">, fallback Source Serif 4); existing sans for body and UI. Product screenshots keep their native dark app shell and sit on</w:t>
      </w:r>
      <w:r>
        <w:t xml:space="preserve"> </w:t>
      </w:r>
      <w:r>
        <w:rPr>
          <w:rStyle w:val="VerbatimChar"/>
        </w:rPr>
        <w:t xml:space="preserve">surface</w:t>
      </w:r>
      <w:r>
        <w:t xml:space="preserve"> </w:t>
      </w:r>
      <w:r>
        <w:t xml:space="preserve">cards with a 1px</w:t>
      </w:r>
      <w:r>
        <w:t xml:space="preserve"> </w:t>
      </w:r>
      <w:r>
        <w:rPr>
          <w:rStyle w:val="VerbatimChar"/>
        </w:rPr>
        <w:t xml:space="preserve">line</w:t>
      </w:r>
      <w:r>
        <w:t xml:space="preserve"> </w:t>
      </w:r>
      <w:r>
        <w:t xml:space="preserve">border and 24px radius; the contrast between forest marketing chrome and navy app screenshots is intentional - it reads as</w:t>
      </w:r>
      <w:r>
        <w:t xml:space="preserve"> </w:t>
      </w:r>
      <w:r>
        <w:t xml:space="preserve">“</w:t>
      </w:r>
      <w:r>
        <w:t xml:space="preserve">the product lives inside.</w:t>
      </w:r>
      <w:r>
        <w:t xml:space="preserve">”</w:t>
      </w:r>
    </w:p>
    <w:p>
      <w:pPr>
        <w:pStyle w:val="BodyText"/>
      </w:pPr>
      <w:r>
        <w:t xml:space="preserve">Homepage hero:</w:t>
      </w:r>
      <w:r>
        <w:t xml:space="preserve"> </w:t>
      </w:r>
      <w:r>
        <w:rPr>
          <w:rStyle w:val="VerbatimChar"/>
        </w:rPr>
        <w:t xml:space="preserve">forest</w:t>
      </w:r>
      <w:r>
        <w:t xml:space="preserve"> </w:t>
      </w:r>
      <w:r>
        <w:t xml:space="preserve">band, top 640px, carrying the wordmark, headline, AutoApply replay, and three doors; everything below is</w:t>
      </w:r>
      <w:r>
        <w:t xml:space="preserve"> </w:t>
      </w:r>
      <w:r>
        <w:rPr>
          <w:rStyle w:val="VerbatimChar"/>
        </w:rPr>
        <w:t xml:space="preserve">paper</w:t>
      </w:r>
      <w:r>
        <w:t xml:space="preserve">.</w:t>
      </w:r>
    </w:p>
    <w:p>
      <w:pPr>
        <w:pStyle w:val="BodyText"/>
      </w:pPr>
      <w:r>
        <w:t xml:space="preserve">Nav: sticky,</w:t>
      </w:r>
      <w:r>
        <w:t xml:space="preserve"> </w:t>
      </w:r>
      <w:r>
        <w:rPr>
          <w:rStyle w:val="VerbatimChar"/>
        </w:rPr>
        <w:t xml:space="preserve">paper</w:t>
      </w:r>
      <w:r>
        <w:t xml:space="preserve"> </w:t>
      </w:r>
      <w:r>
        <w:t xml:space="preserve">background with 1px</w:t>
      </w:r>
      <w:r>
        <w:t xml:space="preserve"> </w:t>
      </w:r>
      <w:r>
        <w:rPr>
          <w:rStyle w:val="VerbatimChar"/>
        </w:rPr>
        <w:t xml:space="preserve">line</w:t>
      </w:r>
      <w:r>
        <w:t xml:space="preserve"> </w:t>
      </w:r>
      <w:r>
        <w:t xml:space="preserve">bottom border,</w:t>
      </w:r>
      <w:r>
        <w:t xml:space="preserve"> </w:t>
      </w:r>
      <w:r>
        <w:rPr>
          <w:rStyle w:val="VerbatimChar"/>
        </w:rPr>
        <w:t xml:space="preserve">forest</w:t>
      </w:r>
      <w:r>
        <w:t xml:space="preserve"> </w:t>
      </w:r>
      <w:r>
        <w:t xml:space="preserve">text, terracotta underline on active; Sign In (ghost) and Book Demo (terracotta) pinned right. Nav is light so the gold wordmark sits on paper, not on forest.</w:t>
      </w:r>
    </w:p>
    <w:p>
      <w:pPr>
        <w:pStyle w:val="BodyText"/>
      </w:pPr>
      <w:r>
        <w:t xml:space="preserve">Contrast check required in mkt-00 gate: terracotta on white &gt;= 4.5:1 for 14px text, heroMuted on forest &gt;= 4.5:1, ink on paper &gt;= 7:1.</w:t>
      </w:r>
    </w:p>
    <w:bookmarkEnd w:id="22"/>
    <w:bookmarkStart w:id="23" w:name="information-architecture-22-pages-v1"/>
    <w:p>
      <w:pPr>
        <w:pStyle w:val="Heading2"/>
      </w:pPr>
      <w:r>
        <w:t xml:space="preserve">4. Information architecture (22 pages, v1)</w:t>
      </w:r>
    </w:p>
    <w:p>
      <w:pPr>
        <w:pStyle w:val="SourceCode"/>
      </w:pPr>
      <w:r>
        <w:rPr>
          <w:rStyle w:val="VerbatimChar"/>
        </w:rPr>
        <w:t xml:space="preserve">/                                   Home (gateway)</w:t>
      </w:r>
      <w:r>
        <w:br/>
      </w:r>
      <w:r>
        <w:rPr>
          <w:rStyle w:val="VerbatimChar"/>
        </w:rPr>
        <w:t xml:space="preserve">/platform                           Platform overview + mega-menu landing</w:t>
      </w:r>
      <w:r>
        <w:br/>
      </w:r>
      <w:r>
        <w:rPr>
          <w:rStyle w:val="VerbatimChar"/>
        </w:rPr>
        <w:t xml:space="preserve">/platform/funding-intelligence</w:t>
      </w:r>
      <w:r>
        <w:br/>
      </w:r>
      <w:r>
        <w:rPr>
          <w:rStyle w:val="VerbatimChar"/>
        </w:rPr>
        <w:t xml:space="preserve">/platform/opportunity-discovery</w:t>
      </w:r>
      <w:r>
        <w:br/>
      </w:r>
      <w:r>
        <w:rPr>
          <w:rStyle w:val="VerbatimChar"/>
        </w:rPr>
        <w:t xml:space="preserve">/platform/ai-grant-writer</w:t>
      </w:r>
      <w:r>
        <w:br/>
      </w:r>
      <w:r>
        <w:rPr>
          <w:rStyle w:val="VerbatimChar"/>
        </w:rPr>
        <w:t xml:space="preserve">/platform/autoapply</w:t>
      </w:r>
      <w:r>
        <w:br/>
      </w:r>
      <w:r>
        <w:rPr>
          <w:rStyle w:val="VerbatimChar"/>
        </w:rPr>
        <w:t xml:space="preserve">/platform/pipeline-crm</w:t>
      </w:r>
      <w:r>
        <w:br/>
      </w:r>
      <w:r>
        <w:rPr>
          <w:rStyle w:val="VerbatimChar"/>
        </w:rPr>
        <w:t xml:space="preserve">/platform/analytics</w:t>
      </w:r>
      <w:r>
        <w:br/>
      </w:r>
      <w:r>
        <w:rPr>
          <w:rStyle w:val="VerbatimChar"/>
        </w:rPr>
        <w:t xml:space="preserve">/how-it-works                       Funding Lifecycle explorer (11 stages, one page)</w:t>
      </w:r>
      <w:r>
        <w:br/>
      </w:r>
      <w:r>
        <w:rPr>
          <w:rStyle w:val="VerbatimChar"/>
        </w:rPr>
        <w:t xml:space="preserve">/agents                             Ten agent families + human-in-the-loop controls</w:t>
      </w:r>
      <w:r>
        <w:br/>
      </w:r>
      <w:r>
        <w:rPr>
          <w:rStyle w:val="VerbatimChar"/>
        </w:rPr>
        <w:t xml:space="preserve">/solutions                          Solutions landing</w:t>
      </w:r>
      <w:r>
        <w:br/>
      </w:r>
      <w:r>
        <w:rPr>
          <w:rStyle w:val="VerbatimChar"/>
        </w:rPr>
        <w:t xml:space="preserve">/solutions/faith-based</w:t>
      </w:r>
      <w:r>
        <w:br/>
      </w:r>
      <w:r>
        <w:rPr>
          <w:rStyle w:val="VerbatimChar"/>
        </w:rPr>
        <w:t xml:space="preserve">/solutions/human-services</w:t>
      </w:r>
      <w:r>
        <w:br/>
      </w:r>
      <w:r>
        <w:rPr>
          <w:rStyle w:val="VerbatimChar"/>
        </w:rPr>
        <w:t xml:space="preserve">/solutions/housing</w:t>
      </w:r>
      <w:r>
        <w:br/>
      </w:r>
      <w:r>
        <w:rPr>
          <w:rStyle w:val="VerbatimChar"/>
        </w:rPr>
        <w:t xml:space="preserve">/solutions/veterans</w:t>
      </w:r>
      <w:r>
        <w:br/>
      </w:r>
      <w:r>
        <w:rPr>
          <w:rStyle w:val="VerbatimChar"/>
        </w:rPr>
        <w:t xml:space="preserve">/solutions/education</w:t>
      </w:r>
      <w:r>
        <w:br/>
      </w:r>
      <w:r>
        <w:rPr>
          <w:rStyle w:val="VerbatimChar"/>
        </w:rPr>
        <w:t xml:space="preserve">/solutions/community-development</w:t>
      </w:r>
      <w:r>
        <w:br/>
      </w:r>
      <w:r>
        <w:rPr>
          <w:rStyle w:val="VerbatimChar"/>
        </w:rPr>
        <w:t xml:space="preserve">/why-benavora                       Manual vs autonomous comparison</w:t>
      </w:r>
      <w:r>
        <w:br/>
      </w:r>
      <w:r>
        <w:rPr>
          <w:rStyle w:val="VerbatimChar"/>
        </w:rPr>
        <w:t xml:space="preserve">/trust                              Security, governance, human approval, audit, provenance</w:t>
      </w:r>
      <w:r>
        <w:br/>
      </w:r>
      <w:r>
        <w:rPr>
          <w:rStyle w:val="VerbatimChar"/>
        </w:rPr>
        <w:t xml:space="preserve">/pricing                            Plans + ROI calculator</w:t>
      </w:r>
      <w:r>
        <w:br/>
      </w:r>
      <w:r>
        <w:rPr>
          <w:rStyle w:val="VerbatimChar"/>
        </w:rPr>
        <w:t xml:space="preserve">/company                            About, mission, responsible AI, contact</w:t>
      </w:r>
      <w:r>
        <w:br/>
      </w:r>
      <w:r>
        <w:rPr>
          <w:rStyle w:val="VerbatimChar"/>
        </w:rPr>
        <w:t xml:space="preserve">/resources                          Library shell + chatbot + (Phase B) tools</w:t>
      </w:r>
      <w:r>
        <w:br/>
      </w:r>
      <w:r>
        <w:rPr>
          <w:rStyle w:val="VerbatimChar"/>
        </w:rPr>
        <w:t xml:space="preserve">/demo                               Book a demo</w:t>
      </w:r>
    </w:p>
    <w:p>
      <w:pPr>
        <w:pStyle w:val="FirstParagraph"/>
      </w:pPr>
      <w:r>
        <w:t xml:space="preserve">Redirects: existing</w:t>
      </w:r>
      <w:r>
        <w:t xml:space="preserve"> </w:t>
      </w:r>
      <w:r>
        <w:rPr>
          <w:rStyle w:val="VerbatimChar"/>
        </w:rPr>
        <w:t xml:space="preserve">(marketing)</w:t>
      </w:r>
      <w:r>
        <w:t xml:space="preserve"> </w:t>
      </w:r>
      <w:r>
        <w:t xml:space="preserve">routes map 1:1 or 301 to the nearest new page.</w:t>
      </w:r>
      <w:r>
        <w:t xml:space="preserve"> </w:t>
      </w:r>
      <w:r>
        <w:rPr>
          <w:rStyle w:val="VerbatimChar"/>
        </w:rPr>
        <w:t xml:space="preserve">/login</w:t>
      </w:r>
      <w:r>
        <w:t xml:space="preserve">,</w:t>
      </w:r>
      <w:r>
        <w:t xml:space="preserve"> </w:t>
      </w:r>
      <w:r>
        <w:rPr>
          <w:rStyle w:val="VerbatimChar"/>
        </w:rPr>
        <w:t xml:space="preserve">/signup</w:t>
      </w:r>
      <w:r>
        <w:t xml:space="preserve">,</w:t>
      </w:r>
      <w:r>
        <w:t xml:space="preserve"> </w:t>
      </w:r>
      <w:r>
        <w:rPr>
          <w:rStyle w:val="VerbatimChar"/>
        </w:rPr>
        <w:t xml:space="preserve">/onboarding</w:t>
      </w:r>
      <w:r>
        <w:t xml:space="preserve"> </w:t>
      </w:r>
      <w:r>
        <w:t xml:space="preserve">unchanged.</w:t>
      </w:r>
    </w:p>
    <w:bookmarkEnd w:id="23"/>
    <w:bookmarkStart w:id="27" w:name="page-templates"/>
    <w:p>
      <w:pPr>
        <w:pStyle w:val="Heading2"/>
      </w:pPr>
      <w:r>
        <w:t xml:space="preserve">5. Page templates</w:t>
      </w:r>
    </w:p>
    <w:bookmarkStart w:id="24" w:name="platform-page-template-6-instances"/>
    <w:p>
      <w:pPr>
        <w:pStyle w:val="Heading3"/>
      </w:pPr>
      <w:r>
        <w:t xml:space="preserve">5.1 Platform page template (6 instances)</w:t>
      </w:r>
    </w:p>
    <w:p>
      <w:pPr>
        <w:numPr>
          <w:ilvl w:val="0"/>
          <w:numId w:val="1001"/>
        </w:numPr>
        <w:pStyle w:val="Compact"/>
      </w:pPr>
      <w:r>
        <w:t xml:space="preserve">Hero: H1, one-sentence outcome, primary CTA (Book Demo), secondary CTA (See it run)</w:t>
      </w:r>
    </w:p>
    <w:p>
      <w:pPr>
        <w:numPr>
          <w:ilvl w:val="0"/>
          <w:numId w:val="1001"/>
        </w:numPr>
        <w:pStyle w:val="Compact"/>
      </w:pPr>
      <w:r>
        <w:t xml:space="preserve">Interactive: the page’s demo component (Section 6)</w:t>
      </w:r>
    </w:p>
    <w:p>
      <w:pPr>
        <w:numPr>
          <w:ilvl w:val="0"/>
          <w:numId w:val="1001"/>
        </w:numPr>
        <w:pStyle w:val="Compact"/>
      </w:pPr>
      <w:r>
        <w:t xml:space="preserve">Problem solved: 3 short blocks, the manual way vs this</w:t>
      </w:r>
    </w:p>
    <w:p>
      <w:pPr>
        <w:numPr>
          <w:ilvl w:val="0"/>
          <w:numId w:val="1001"/>
        </w:numPr>
        <w:pStyle w:val="Compact"/>
      </w:pPr>
      <w:r>
        <w:t xml:space="preserve">Key capabilities: 5 items, each one line, no marketing adjectives</w:t>
      </w:r>
    </w:p>
    <w:p>
      <w:pPr>
        <w:numPr>
          <w:ilvl w:val="0"/>
          <w:numId w:val="1001"/>
        </w:numPr>
        <w:pStyle w:val="Compact"/>
      </w:pPr>
      <w:r>
        <w:t xml:space="preserve">How the AI works: 3-step diagram, names the agent family and the human control point</w:t>
      </w:r>
    </w:p>
    <w:p>
      <w:pPr>
        <w:numPr>
          <w:ilvl w:val="0"/>
          <w:numId w:val="1001"/>
        </w:numPr>
        <w:pStyle w:val="Compact"/>
      </w:pPr>
      <w:r>
        <w:t xml:space="preserve">Sample output: rendered from fixture, expandable</w:t>
      </w:r>
    </w:p>
    <w:p>
      <w:pPr>
        <w:numPr>
          <w:ilvl w:val="0"/>
          <w:numId w:val="1001"/>
        </w:numPr>
        <w:pStyle w:val="Compact"/>
      </w:pPr>
      <w:r>
        <w:t xml:space="preserve">Related capabilities: 3 cards linking across Platform pages</w:t>
      </w:r>
    </w:p>
    <w:p>
      <w:pPr>
        <w:numPr>
          <w:ilvl w:val="0"/>
          <w:numId w:val="1001"/>
        </w:numPr>
        <w:pStyle w:val="Compact"/>
      </w:pPr>
      <w:r>
        <w:t xml:space="preserve">FAQ: 5 questions, sourced from real objections</w:t>
      </w:r>
    </w:p>
    <w:p>
      <w:pPr>
        <w:numPr>
          <w:ilvl w:val="0"/>
          <w:numId w:val="1001"/>
        </w:numPr>
        <w:pStyle w:val="Compact"/>
      </w:pPr>
      <w:r>
        <w:t xml:space="preserve">CTA band</w:t>
      </w:r>
    </w:p>
    <w:bookmarkEnd w:id="24"/>
    <w:bookmarkStart w:id="25" w:name="solutions-page-template-6-instances"/>
    <w:p>
      <w:pPr>
        <w:pStyle w:val="Heading3"/>
      </w:pPr>
      <w:r>
        <w:t xml:space="preserve">5.2 Solutions page template (6 instances)</w:t>
      </w:r>
    </w:p>
    <w:p>
      <w:pPr>
        <w:numPr>
          <w:ilvl w:val="0"/>
          <w:numId w:val="1002"/>
        </w:numPr>
        <w:pStyle w:val="Compact"/>
      </w:pPr>
      <w:r>
        <w:t xml:space="preserve">Hero: org type named in H1, the funding types that matter most to them</w:t>
      </w:r>
    </w:p>
    <w:p>
      <w:pPr>
        <w:numPr>
          <w:ilvl w:val="0"/>
          <w:numId w:val="1002"/>
        </w:numPr>
        <w:pStyle w:val="Compact"/>
      </w:pPr>
      <w:r>
        <w:t xml:space="preserve">The three funding problems this org type actually has</w:t>
      </w:r>
    </w:p>
    <w:p>
      <w:pPr>
        <w:numPr>
          <w:ilvl w:val="0"/>
          <w:numId w:val="1002"/>
        </w:numPr>
        <w:pStyle w:val="Compact"/>
      </w:pPr>
      <w:r>
        <w:t xml:space="preserve">Which platform capabilities answer each (links)</w:t>
      </w:r>
    </w:p>
    <w:p>
      <w:pPr>
        <w:numPr>
          <w:ilvl w:val="0"/>
          <w:numId w:val="1002"/>
        </w:numPr>
        <w:pStyle w:val="Compact"/>
      </w:pPr>
      <w:r>
        <w:t xml:space="preserve">A sample opportunity list for this org type (fixture, 8 rows)</w:t>
      </w:r>
    </w:p>
    <w:p>
      <w:pPr>
        <w:numPr>
          <w:ilvl w:val="0"/>
          <w:numId w:val="1002"/>
        </w:numPr>
        <w:pStyle w:val="Compact"/>
      </w:pPr>
      <w:r>
        <w:t xml:space="preserve">Sample draft excerpt for this org type (fixture)</w:t>
      </w:r>
    </w:p>
    <w:p>
      <w:pPr>
        <w:numPr>
          <w:ilvl w:val="0"/>
          <w:numId w:val="1002"/>
        </w:numPr>
        <w:pStyle w:val="Compact"/>
      </w:pPr>
      <w:r>
        <w:t xml:space="preserve">FAQ, CTA</w:t>
      </w:r>
    </w:p>
    <w:bookmarkEnd w:id="25"/>
    <w:bookmarkStart w:id="26" w:name="single-pages"/>
    <w:p>
      <w:pPr>
        <w:pStyle w:val="Heading3"/>
      </w:pPr>
      <w:r>
        <w:t xml:space="preserve">5.3 Single pages</w:t>
      </w:r>
    </w:p>
    <w:p>
      <w:pPr>
        <w:pStyle w:val="FirstParagraph"/>
      </w:pPr>
      <w:r>
        <w:t xml:space="preserve">How It Works, Agents, Why Benavora, Trust, Pricing, Company, Resources, Demo each have a bespoke layout specified in</w:t>
      </w:r>
      <w:r>
        <w:t xml:space="preserve"> </w:t>
      </w:r>
      <w:r>
        <w:rPr>
          <w:rStyle w:val="VerbatimChar"/>
        </w:rPr>
        <w:t xml:space="preserve">content/marketing/&lt;slug&gt;.mdx</w:t>
      </w:r>
      <w:r>
        <w:t xml:space="preserve"> </w:t>
      </w:r>
      <w:r>
        <w:t xml:space="preserve">front-matter with</w:t>
      </w:r>
      <w:r>
        <w:t xml:space="preserve"> </w:t>
      </w:r>
      <w:r>
        <w:rPr>
          <w:rStyle w:val="VerbatimChar"/>
        </w:rPr>
        <w:t xml:space="preserve">layout:</w:t>
      </w:r>
      <w:r>
        <w:t xml:space="preserve"> </w:t>
      </w:r>
      <w:r>
        <w:t xml:space="preserve">key.</w:t>
      </w:r>
    </w:p>
    <w:bookmarkEnd w:id="26"/>
    <w:bookmarkEnd w:id="27"/>
    <w:bookmarkStart w:id="28" w:name="interactive-components-the-wow-layer"/>
    <w:p>
      <w:pPr>
        <w:pStyle w:val="Heading2"/>
      </w:pPr>
      <w:r>
        <w:t xml:space="preserve">6. Interactive components (the wow layer)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Page(s)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Live backend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IX-01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AutoApply Replay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Home, /platform/autoapply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Recorded event stream JSON from a real Faith Foundation run; 60-90s loop; scrubbable; click any step to see what the agent read and the value chosen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IX-02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Draft Generator Theater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/platform/ai-grant-writer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frozen drafts for 4 real opportunities; token-stream animation; section citations expand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IX-03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Opportunity Analysis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/platform/opportunity-discovery, /platform/funding-intelligence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Visitor picks 1 of 6 sample orgs (or enters an EIN that maps to a fixture); eligibility scoring and ranked list assemble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IX-04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Funding Lifecycle Explorer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/how-it-works, Home strip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 stages; each reveals agent family, human gate, live-app screenshot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IX-05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Agent Explorer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/agents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families; inputs, tasks, outputs, governance gate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IX-06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Pipeline Walk-through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/platform/pipeline-crm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 6-stage funnel with real (org-scoped) counts frozen at capture; click a stage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IX-07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ROI Calculator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/pricing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Visitor inputs; client math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IX-08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Assist (chatbot)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pages, floating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/api/public/assist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IX-09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Book a Demo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/demo, CTA bands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Calendar embed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</w:tbl>
    <w:p>
      <w:pPr>
        <w:pStyle w:val="BodyText"/>
      </w:pPr>
      <w:r>
        <w:t xml:space="preserve">Fixture capture: one CC session records IX-01 and IX-06 from production as Faith Foundation using the magic-link Playwright pattern, exports JSON + PNG to</w:t>
      </w:r>
      <w:r>
        <w:t xml:space="preserve"> </w:t>
      </w:r>
      <w:r>
        <w:rPr>
          <w:rStyle w:val="VerbatimChar"/>
        </w:rPr>
        <w:t xml:space="preserve">public/demo/</w:t>
      </w:r>
      <w:r>
        <w:t xml:space="preserve">. IX-02 and IX-03 fixtures are generated once from the real draft and scoring endpoints and frozen. Fixtures are versioned; a</w:t>
      </w:r>
      <w:r>
        <w:t xml:space="preserve"> </w:t>
      </w:r>
      <w:r>
        <w:rPr>
          <w:rStyle w:val="VerbatimChar"/>
        </w:rPr>
        <w:t xml:space="preserve">fixtures.json</w:t>
      </w:r>
      <w:r>
        <w:t xml:space="preserve"> </w:t>
      </w:r>
      <w:r>
        <w:t xml:space="preserve">manifest carries capture date and commit SHA.</w:t>
      </w:r>
    </w:p>
    <w:p>
      <w:pPr>
        <w:pStyle w:val="BodyText"/>
      </w:pPr>
      <w:r>
        <w:t xml:space="preserve">IX-01 event stream schema:</w:t>
      </w:r>
    </w:p>
    <w:p>
      <w:pPr>
        <w:pStyle w:val="SourceCode"/>
      </w:pPr>
      <w:r>
        <w:rPr>
          <w:rStyle w:val="VerbatimChar"/>
        </w:rPr>
        <w:t xml:space="preserve">{ "run_id", "opportunity", "captured_at", "app_sha",</w:t>
      </w:r>
      <w:r>
        <w:br/>
      </w:r>
      <w:r>
        <w:rPr>
          <w:rStyle w:val="VerbatimChar"/>
        </w:rPr>
        <w:t xml:space="preserve">  "steps": [ { "t_ms", "kind": "navigate|read|fill|select|validate|review|submit",</w:t>
      </w:r>
      <w:r>
        <w:br/>
      </w:r>
      <w:r>
        <w:rPr>
          <w:rStyle w:val="VerbatimChar"/>
        </w:rPr>
        <w:t xml:space="preserve">               "selector_label", "value_shown", "rationale", "screenshot" } ] }</w:t>
      </w:r>
    </w:p>
    <w:bookmarkEnd w:id="28"/>
    <w:bookmarkStart w:id="33" w:name="knowledge-service-benavora-assist"/>
    <w:p>
      <w:pPr>
        <w:pStyle w:val="Heading2"/>
      </w:pPr>
      <w:r>
        <w:t xml:space="preserve">7. Knowledge service (Benavora Assist)</w:t>
      </w:r>
    </w:p>
    <w:bookmarkStart w:id="29" w:name="Xc4dea02162078e444b0e7a52bc6513aef21cb86"/>
    <w:p>
      <w:pPr>
        <w:pStyle w:val="Heading3"/>
      </w:pPr>
      <w:r>
        <w:t xml:space="preserve">7.1 Schema (</w:t>
      </w:r>
      <w:r>
        <w:rPr>
          <w:rStyle w:val="VerbatimChar"/>
        </w:rPr>
        <w:t xml:space="preserve">knowledge</w:t>
      </w:r>
      <w:r>
        <w:t xml:space="preserve"> </w:t>
      </w:r>
      <w:r>
        <w:t xml:space="preserve">schema, Benavora Supabase)</w:t>
      </w:r>
    </w:p>
    <w:p>
      <w:pPr>
        <w:pStyle w:val="SourceCode"/>
      </w:pPr>
      <w:r>
        <w:rPr>
          <w:rStyle w:val="VerbatimChar"/>
        </w:rPr>
        <w:t xml:space="preserve">knowledge.sources      id, name, publisher, tier, rights(host|index|link), license_note, url, topics text[], format, added_at</w:t>
      </w:r>
      <w:r>
        <w:br/>
      </w:r>
      <w:r>
        <w:rPr>
          <w:rStyle w:val="VerbatimChar"/>
        </w:rPr>
        <w:t xml:space="preserve">knowledge.documents    id, source_id, title, canonical_url, storage_path (host only), sha256, fetched_at, status</w:t>
      </w:r>
      <w:r>
        <w:br/>
      </w:r>
      <w:r>
        <w:rPr>
          <w:rStyle w:val="VerbatimChar"/>
        </w:rPr>
        <w:t xml:space="preserve">knowledge.chunks       id, document_id, ordinal, content, token_count, embedding vector(1536), metadata jsonb</w:t>
      </w:r>
      <w:r>
        <w:br/>
      </w:r>
      <w:r>
        <w:rPr>
          <w:rStyle w:val="VerbatimChar"/>
        </w:rPr>
        <w:t xml:space="preserve">knowledge.queries      id, surface(public|app), org_id null, question, answer, chunk_ids uuid[], created_at</w:t>
      </w:r>
    </w:p>
    <w:p>
      <w:pPr>
        <w:pStyle w:val="FirstParagraph"/>
      </w:pPr>
      <w:r>
        <w:t xml:space="preserve">RLS: all four tables deny for</w:t>
      </w:r>
      <w:r>
        <w:t xml:space="preserve"> </w:t>
      </w:r>
      <w:r>
        <w:rPr>
          <w:rStyle w:val="VerbatimChar"/>
        </w:rPr>
        <w:t xml:space="preserve">authenticated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anon</w:t>
      </w:r>
      <w:r>
        <w:t xml:space="preserve">; accessed only via service role from the API route.</w:t>
      </w:r>
    </w:p>
    <w:bookmarkEnd w:id="29"/>
    <w:bookmarkStart w:id="30" w:name="ingestion-pipeline-one-command"/>
    <w:p>
      <w:pPr>
        <w:pStyle w:val="Heading3"/>
      </w:pPr>
      <w:r>
        <w:t xml:space="preserve">7.2 Ingestion pipeline (one command)</w:t>
      </w:r>
    </w:p>
    <w:p>
      <w:pPr>
        <w:pStyle w:val="FirstParagraph"/>
      </w:pPr>
      <w:r>
        <w:rPr>
          <w:rStyle w:val="VerbatimChar"/>
        </w:rPr>
        <w:t xml:space="preserve">pnpm run knowledge:ingest</w:t>
      </w:r>
      <w:r>
        <w:t xml:space="preserve"> </w:t>
      </w:r>
      <w:r>
        <w:t xml:space="preserve">reads</w:t>
      </w:r>
      <w:r>
        <w:t xml:space="preserve"> </w:t>
      </w:r>
      <w:r>
        <w:rPr>
          <w:rStyle w:val="VerbatimChar"/>
        </w:rPr>
        <w:t xml:space="preserve">content/knowledge/CORPUS_SEED.yaml</w:t>
      </w:r>
      <w:r>
        <w:t xml:space="preserve">, fetches</w:t>
      </w:r>
      <w:r>
        <w:t xml:space="preserve"> </w:t>
      </w:r>
      <w:r>
        <w:rPr>
          <w:rStyle w:val="VerbatimChar"/>
        </w:rPr>
        <w:t xml:space="preserve">host</w:t>
      </w:r>
      <w:r>
        <w:t xml:space="preserve"> </w:t>
      </w:r>
      <w:r>
        <w:t xml:space="preserve">documents to Supabase Storage bucket</w:t>
      </w:r>
      <w:r>
        <w:t xml:space="preserve"> </w:t>
      </w:r>
      <w:r>
        <w:rPr>
          <w:rStyle w:val="VerbatimChar"/>
        </w:rPr>
        <w:t xml:space="preserve">knowledge-host</w:t>
      </w:r>
      <w:r>
        <w:t xml:space="preserve">, fetches</w:t>
      </w:r>
      <w:r>
        <w:t xml:space="preserve"> </w:t>
      </w:r>
      <w:r>
        <w:rPr>
          <w:rStyle w:val="VerbatimChar"/>
        </w:rPr>
        <w:t xml:space="preserve">index</w:t>
      </w:r>
      <w:r>
        <w:t xml:space="preserve"> </w:t>
      </w:r>
      <w:r>
        <w:t xml:space="preserve">documents to a temp dir, chunks at ~800 tokens with 120 overlap, embeds, upserts by sha256 (idempotent), writes a run report to</w:t>
      </w:r>
      <w:r>
        <w:t xml:space="preserve"> </w:t>
      </w:r>
      <w:r>
        <w:rPr>
          <w:rStyle w:val="VerbatimChar"/>
        </w:rPr>
        <w:t xml:space="preserve">test-evidence/knowledge/ingest-&lt;date&gt;.json</w:t>
      </w:r>
      <w:r>
        <w:t xml:space="preserve">.</w:t>
      </w:r>
      <w:r>
        <w:t xml:space="preserve"> </w:t>
      </w:r>
      <w:r>
        <w:rPr>
          <w:rStyle w:val="VerbatimChar"/>
        </w:rPr>
        <w:t xml:space="preserve">link</w:t>
      </w:r>
      <w:r>
        <w:t xml:space="preserve"> </w:t>
      </w:r>
      <w:r>
        <w:t xml:space="preserve">rows are inserted into</w:t>
      </w:r>
      <w:r>
        <w:t xml:space="preserve"> </w:t>
      </w:r>
      <w:r>
        <w:rPr>
          <w:rStyle w:val="VerbatimChar"/>
        </w:rPr>
        <w:t xml:space="preserve">sources</w:t>
      </w:r>
      <w:r>
        <w:t xml:space="preserve"> </w:t>
      </w:r>
      <w:r>
        <w:t xml:space="preserve">only.</w:t>
      </w:r>
    </w:p>
    <w:bookmarkEnd w:id="30"/>
    <w:bookmarkStart w:id="31" w:name="retrieval-and-answer"/>
    <w:p>
      <w:pPr>
        <w:pStyle w:val="Heading3"/>
      </w:pPr>
      <w:r>
        <w:t xml:space="preserve">7.3 Retrieval and answer</w:t>
      </w:r>
    </w:p>
    <w:p>
      <w:pPr>
        <w:pStyle w:val="FirstParagraph"/>
      </w:pPr>
      <w:r>
        <w:t xml:space="preserve">Hybrid: pgvector cosine top-20 + Postgres full-text top-20, reciprocal rank fusion, top-8 to the model. Public surface: system prompt restricts to corpus, cites source title + URL on every claim, refuses legal/tax determinations with a pointer to the source document, ends with a contextual CTA at most once per session. In-app surface: adds tool calls to the tenant’s opportunities, deadlines, drafts, and pipeline, scoped by org_id through the existing authenticated routes.</w:t>
      </w:r>
    </w:p>
    <w:p>
      <w:pPr>
        <w:pStyle w:val="BodyText"/>
      </w:pPr>
      <w:r>
        <w:t xml:space="preserve">Model routing: haiku-class for query rewriting and CTA decision, sonnet-class for answers. Budget guard: per-IP 30 questions/day on public surface, Upstash-style counter in Supabase.</w:t>
      </w:r>
    </w:p>
    <w:bookmarkEnd w:id="31"/>
    <w:bookmarkStart w:id="32" w:name="seed-corpus-tiers"/>
    <w:p>
      <w:pPr>
        <w:pStyle w:val="Heading3"/>
      </w:pPr>
      <w:r>
        <w:t xml:space="preserve">7.4 Seed corpus tiers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Rights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Examples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 library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Chatbot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Government / public domain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IRS pubs 557, 4220, 4221-PC/PF, 598, 1771, 561, 526, 1828, 4302; Grants.gov 101, lifecycle, quick start, eligibility, terminology, policies, reporting, fraud; SAM.gov assistance listings; USAspending; FAC; State Dept NGO Handbook; federal agency grant guides (HUD, NIH, HHS, ED, DOJ, USDA RD, FEMA, AmeriCorps, EDA, NEA); Census, ACS, BLS, HUD User/Exchange, CDC, County Health Rankings, Data.gov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Open-licensed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Intro to the Nonprofit Sector (CC BY-NC), OpenStax, LibreTexts, Open Textbook Library selections, FEP public-domain tools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Inline with attribution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Associations and research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NCN, AFP ethics resources, Independent Sector Principles, BoardSource, Council on Foundations, GPA, FEP reports, GivingTuesday Data Commons, Urban Institute/NCCS, CEP, Bridgespan, SSIR, TechSoup, Candid Learning, NonprofitReady, Nonprofit Learning Lab guides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Curated link + original summary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 Vendor / competitor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Bloomerang, Neon One, Donorbox, Givebutter, Funraise, Qgiv, DonorDock, Double the Donation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listed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 (knowledge only, never cited by vendor name)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CORPUS_SEED.yaml</w:t>
      </w:r>
      <w:r>
        <w:t xml:space="preserve"> </w:t>
      </w:r>
      <w:r>
        <w:t xml:space="preserve">row format:</w:t>
      </w:r>
    </w:p>
    <w:p>
      <w:pPr>
        <w:pStyle w:val="SourceCode"/>
      </w:pPr>
      <w:r>
        <w:rPr>
          <w:rStyle w:val="VerbatimChar"/>
        </w:rPr>
        <w:t xml:space="preserve">- name: IRS Publication 557</w:t>
      </w:r>
      <w:r>
        <w:br/>
      </w:r>
      <w:r>
        <w:rPr>
          <w:rStyle w:val="VerbatimChar"/>
        </w:rPr>
        <w:t xml:space="preserve">  publisher: Internal Revenue Service</w:t>
      </w:r>
      <w:r>
        <w:br/>
      </w:r>
      <w:r>
        <w:rPr>
          <w:rStyle w:val="VerbatimChar"/>
        </w:rPr>
        <w:t xml:space="preserve">  tier: 1</w:t>
      </w:r>
      <w:r>
        <w:br/>
      </w:r>
      <w:r>
        <w:rPr>
          <w:rStyle w:val="VerbatimChar"/>
        </w:rPr>
        <w:t xml:space="preserve">  rights: host</w:t>
      </w:r>
      <w:r>
        <w:br/>
      </w:r>
      <w:r>
        <w:rPr>
          <w:rStyle w:val="VerbatimChar"/>
        </w:rPr>
        <w:t xml:space="preserve">  url: https://www.irs.gov/pub/irs-pdf/p557.pdf</w:t>
      </w:r>
      <w:r>
        <w:br/>
      </w:r>
      <w:r>
        <w:rPr>
          <w:rStyle w:val="VerbatimChar"/>
        </w:rPr>
        <w:t xml:space="preserve">  format: pdf</w:t>
      </w:r>
      <w:r>
        <w:br/>
      </w:r>
      <w:r>
        <w:rPr>
          <w:rStyle w:val="VerbatimChar"/>
        </w:rPr>
        <w:t xml:space="preserve">  topics: [formation, tax-exempt-status, compliance]</w:t>
      </w:r>
    </w:p>
    <w:bookmarkEnd w:id="32"/>
    <w:bookmarkEnd w:id="33"/>
    <w:bookmarkStart w:id="34" w:name="X4f3d9ab186207affe88a2c1f07427f7da8cd1db"/>
    <w:p>
      <w:pPr>
        <w:pStyle w:val="Heading2"/>
      </w:pPr>
      <w:r>
        <w:t xml:space="preserve">8. Resources / Benavora University (Phase B detail)</w:t>
      </w:r>
    </w:p>
    <w:p>
      <w:pPr>
        <w:pStyle w:val="FirstParagraph"/>
      </w:pPr>
      <w:r>
        <w:t xml:space="preserve">Public library shell ships in Phase A with Tier 1-3 browsable by topic and format. Phase B adds original tools, each a React page with no backend, each ending in an optional</w:t>
      </w:r>
      <w:r>
        <w:t xml:space="preserve"> </w:t>
      </w:r>
      <w:r>
        <w:t xml:space="preserve">“</w:t>
      </w:r>
      <w:r>
        <w:t xml:space="preserve">save to your workspace</w:t>
      </w:r>
      <w:r>
        <w:t xml:space="preserve">”</w:t>
      </w:r>
      <w:r>
        <w:t xml:space="preserve"> </w:t>
      </w:r>
      <w:r>
        <w:t xml:space="preserve">handoff:</w:t>
      </w:r>
    </w:p>
    <w:p>
      <w:pPr>
        <w:pStyle w:val="BodyText"/>
      </w:pPr>
      <w:r>
        <w:t xml:space="preserve">Priority order by search demand x build cost: grant-readiness checklist, donor-retention calculator, grant-win-rate calculator, cost-to-raise-a-dollar calculator, gift-range chart, grant budget builder, logic-model builder, capital-campaign pyramid, Census evidence generator (uses Census API, read-only, cached), fundraising calendar generator.</w:t>
      </w:r>
    </w:p>
    <w:p>
      <w:pPr>
        <w:pStyle w:val="BodyText"/>
      </w:pPr>
      <w:r>
        <w:t xml:space="preserve">Glossary and guides: generated through the Tarritrix programmatic-SEO engine rather than a second pipeline; scoped in Phase C.</w:t>
      </w:r>
    </w:p>
    <w:bookmarkEnd w:id="34"/>
    <w:bookmarkStart w:id="35" w:name="forge-queue-plan"/>
    <w:p>
      <w:pPr>
        <w:pStyle w:val="Heading2"/>
      </w:pPr>
      <w:r>
        <w:t xml:space="preserve">9. FORGE queue plan</w:t>
      </w:r>
    </w:p>
    <w:p>
      <w:pPr>
        <w:pStyle w:val="FirstParagraph"/>
      </w:pPr>
      <w:r>
        <w:t xml:space="preserve">Queue files at</w:t>
      </w:r>
      <w:r>
        <w:t xml:space="preserve"> </w:t>
      </w:r>
      <w:r>
        <w:rPr>
          <w:rStyle w:val="VerbatimChar"/>
        </w:rPr>
        <w:t xml:space="preserve">C:\Users\manag\Documents\FORGE\projects\benavora\queue-mkt-&lt;nn&gt;.yaml</w:t>
      </w:r>
      <w:r>
        <w:t xml:space="preserve">, flat</w:t>
      </w:r>
      <w:r>
        <w:t xml:space="preserve"> </w:t>
      </w:r>
      <w:r>
        <w:rPr>
          <w:rStyle w:val="VerbatimChar"/>
        </w:rPr>
        <w:t xml:space="preserve">prompts:</w:t>
      </w:r>
      <w:r>
        <w:t xml:space="preserve"> </w:t>
      </w:r>
      <w:r>
        <w:t xml:space="preserve">list, one queue per row, each gated on</w:t>
      </w:r>
      <w:r>
        <w:t xml:space="preserve"> </w:t>
      </w:r>
      <w:r>
        <w:rPr>
          <w:rStyle w:val="VerbatimChar"/>
        </w:rPr>
        <w:t xml:space="preserve">pnpm run build</w:t>
      </w:r>
      <w:r>
        <w:t xml:space="preserve"> </w:t>
      </w:r>
      <w:r>
        <w:t xml:space="preserve">exit 0 and a Playwright smoke that renders every route in the queue with zero console errors and getComputedStyle evidence for theme tokens.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Queue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Scope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Gate evidence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mkt-00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Theme tokens, marketing layout shell, nav + mega-menu, footer, MDX loader, route skeletons for all 22 pages, redirects from old routes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22 routes 200; nav computed styles; contrast ratios from Section 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mkt-01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Fixture capture session: IX-01 and IX-06 recorded from prod as Faith Foundation; IX-02/IX-03 fixtures generated and frozen;</w:t>
            </w:r>
            <w:r>
              <w:t xml:space="preserve"> </w:t>
            </w:r>
            <w:r>
              <w:rPr>
                <w:rStyle w:val="VerbatimChar"/>
              </w:rPr>
              <w:t xml:space="preserve">public/demo/fixtures.json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Files present, schema-validated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mkt-02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IX-01 AutoApply Replay component + Home page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Replay loops, scrub works, zero network calls in Playwright HAR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mkt-03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Platform template + 6 platform pages with IX-02, IX-03, IX-06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 routes, each demo renders, HAR shows no app API calls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mkt-04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IX-04 Lifecycle Explorer + /how-it-works; IX-05 Agent Explorer + /agents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Interaction smoke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mkt-05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Solutions template + 6 solutions pages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 routes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mkt-06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/why-benavora, /trust, /company, /pricing with IX-07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routes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mkt-07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Knowledge schema migration, ingestion script, CORPUS_SEED.yaml Tier 1-2, first ingest run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Ingest report, chunk count, RLS test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mkt-08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/api/public/assist</w:t>
            </w:r>
            <w:r>
              <w:t xml:space="preserve"> </w:t>
            </w:r>
            <w:r>
              <w:t xml:space="preserve">+ IX-08 floating widget on all marketing pages; in-app surface wiring behind existing 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 answers cite sources; tenant tool calls org-scoped (vitest)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mkt-09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/resources library shell, /demo booking, sitemap, OG images, analytics events on every CTA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Lighthouse SEO &gt;= 95, sitemap valid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mkt-10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Live smoke on www.benavora.com after</w:t>
            </w:r>
            <w:r>
              <w:t xml:space="preserve"> </w:t>
            </w:r>
            <w:r>
              <w:rPr>
                <w:rStyle w:val="VerbatimChar"/>
              </w:rPr>
              <w:t xml:space="preserve">npx vercel deploy --prod</w:t>
            </w:r>
            <w:r>
              <w:t xml:space="preserve">; screenshots of all 22 pages; register rows for any defect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22/22 PASS evidence</w:t>
            </w:r>
          </w:p>
        </w:tc>
      </w:tr>
    </w:tbl>
    <w:p>
      <w:pPr>
        <w:pStyle w:val="BodyText"/>
      </w:pPr>
      <w:r>
        <w:t xml:space="preserve">Pre-launch sync and launch commands are the canonical ones in memory.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 </w:t>
      </w:r>
      <w:r>
        <w:t xml:space="preserve">gains a</w:t>
      </w:r>
      <w:r>
        <w:t xml:space="preserve"> </w:t>
      </w:r>
      <w:r>
        <w:t xml:space="preserve">“</w:t>
      </w:r>
      <w:r>
        <w:t xml:space="preserve">Marketing layer</w:t>
      </w:r>
      <w:r>
        <w:t xml:space="preserve">”</w:t>
      </w:r>
      <w:r>
        <w:t xml:space="preserve"> </w:t>
      </w:r>
      <w:r>
        <w:t xml:space="preserve">section pointing to this blueprint and M-001..M-010.</w:t>
      </w:r>
    </w:p>
    <w:bookmarkEnd w:id="35"/>
    <w:bookmarkStart w:id="36" w:name="phasing-and-dates"/>
    <w:p>
      <w:pPr>
        <w:pStyle w:val="Heading2"/>
      </w:pPr>
      <w:r>
        <w:t xml:space="preserve">10. Phasing and dates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Phase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Queues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Gate to start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mkt-00 to mkt-06, mkt-09, mkt-10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 P0s closed and migration-drift batch applied (estimated 3-5 CC sessions)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A’ (parallel-safe)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mkt-01 fixture capture, mkt-07 knowledge ingest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 run during P0 work; no app code touched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Tools (Section 8), mkt-08 in-app surface polish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Phase A live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Glossary/guides via Tarritrix, integration detail pages, customers section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Two external consenting customers</w:t>
            </w:r>
          </w:p>
        </w:tc>
      </w:tr>
    </w:tbl>
    <w:p>
      <w:pPr>
        <w:pStyle w:val="BodyText"/>
      </w:pPr>
      <w:r>
        <w:t xml:space="preserve">Target dates: TBD - Reid to supply investor demo / first external onboarding date.</w:t>
      </w:r>
    </w:p>
    <w:bookmarkEnd w:id="36"/>
    <w:bookmarkStart w:id="37" w:name="copy-standards"/>
    <w:p>
      <w:pPr>
        <w:pStyle w:val="Heading2"/>
      </w:pPr>
      <w:r>
        <w:t xml:space="preserve">11. Copy standards</w:t>
      </w:r>
    </w:p>
    <w:p>
      <w:pPr>
        <w:numPr>
          <w:ilvl w:val="0"/>
          <w:numId w:val="1003"/>
        </w:numPr>
        <w:pStyle w:val="Compact"/>
      </w:pPr>
      <w:r>
        <w:t xml:space="preserve">No unverifiable claims. Any number on the site traces to a fixture, a register row, or a public source.</w:t>
      </w:r>
    </w:p>
    <w:p>
      <w:pPr>
        <w:numPr>
          <w:ilvl w:val="0"/>
          <w:numId w:val="1003"/>
        </w:numPr>
        <w:pStyle w:val="Compact"/>
      </w:pPr>
      <w:r>
        <w:t xml:space="preserve">No adjectives doing the work of evidence (</w:t>
      </w:r>
      <w:r>
        <w:t xml:space="preserve">“</w:t>
      </w:r>
      <w:r>
        <w:t xml:space="preserve">powerful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seamless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revolutionary</w:t>
      </w:r>
      <w:r>
        <w:t xml:space="preserve">”</w:t>
      </w:r>
      <w:r>
        <w:t xml:space="preserve"> </w:t>
      </w:r>
      <w:r>
        <w:t xml:space="preserve">are banned).</w:t>
      </w:r>
    </w:p>
    <w:p>
      <w:pPr>
        <w:numPr>
          <w:ilvl w:val="0"/>
          <w:numId w:val="1003"/>
        </w:numPr>
        <w:pStyle w:val="Compact"/>
      </w:pPr>
      <w:r>
        <w:t xml:space="preserve">Capabilities described as what happens, in present tense:</w:t>
      </w:r>
      <w:r>
        <w:t xml:space="preserve"> </w:t>
      </w:r>
      <w:r>
        <w:t xml:space="preserve">“</w:t>
      </w:r>
      <w:r>
        <w:t xml:space="preserve">Reads the NOFO, scores eligibility on 14 criteria, flags the two you fail.</w:t>
      </w:r>
      <w:r>
        <w:t xml:space="preserve">”</w:t>
      </w:r>
    </w:p>
    <w:p>
      <w:pPr>
        <w:numPr>
          <w:ilvl w:val="0"/>
          <w:numId w:val="1003"/>
        </w:numPr>
        <w:pStyle w:val="Compact"/>
      </w:pPr>
      <w:r>
        <w:t xml:space="preserve">Human control named on every page that shows an agent acting.</w:t>
      </w:r>
    </w:p>
    <w:p>
      <w:pPr>
        <w:numPr>
          <w:ilvl w:val="0"/>
          <w:numId w:val="1003"/>
        </w:numPr>
        <w:pStyle w:val="Compact"/>
      </w:pPr>
      <w:r>
        <w:t xml:space="preserve">FAQ answers under 80 words.</w:t>
      </w:r>
    </w:p>
    <w:bookmarkEnd w:id="37"/>
    <w:bookmarkStart w:id="38" w:name="measurement"/>
    <w:p>
      <w:pPr>
        <w:pStyle w:val="Heading2"/>
      </w:pPr>
      <w:r>
        <w:t xml:space="preserve">12. Measurement</w:t>
      </w:r>
    </w:p>
    <w:p>
      <w:pPr>
        <w:pStyle w:val="FirstParagraph"/>
      </w:pPr>
      <w:r>
        <w:t xml:space="preserve">Events:</w:t>
      </w:r>
      <w:r>
        <w:t xml:space="preserve"> </w:t>
      </w:r>
      <w:r>
        <w:rPr>
          <w:rStyle w:val="VerbatimChar"/>
        </w:rPr>
        <w:t xml:space="preserve">cta_demo_click</w:t>
      </w:r>
      <w:r>
        <w:t xml:space="preserve">,</w:t>
      </w:r>
      <w:r>
        <w:t xml:space="preserve"> </w:t>
      </w:r>
      <w:r>
        <w:rPr>
          <w:rStyle w:val="VerbatimChar"/>
        </w:rPr>
        <w:t xml:space="preserve">demo_booked</w:t>
      </w:r>
      <w:r>
        <w:t xml:space="preserve">,</w:t>
      </w:r>
      <w:r>
        <w:t xml:space="preserve"> </w:t>
      </w:r>
      <w:r>
        <w:rPr>
          <w:rStyle w:val="VerbatimChar"/>
        </w:rPr>
        <w:t xml:space="preserve">replay_started</w:t>
      </w:r>
      <w:r>
        <w:t xml:space="preserve">,</w:t>
      </w:r>
      <w:r>
        <w:t xml:space="preserve"> </w:t>
      </w:r>
      <w:r>
        <w:rPr>
          <w:rStyle w:val="VerbatimChar"/>
        </w:rPr>
        <w:t xml:space="preserve">replay_scrubbed</w:t>
      </w:r>
      <w:r>
        <w:t xml:space="preserve">,</w:t>
      </w:r>
      <w:r>
        <w:t xml:space="preserve"> </w:t>
      </w:r>
      <w:r>
        <w:rPr>
          <w:rStyle w:val="VerbatimChar"/>
        </w:rPr>
        <w:t xml:space="preserve">replay_step_opened</w:t>
      </w:r>
      <w:r>
        <w:t xml:space="preserve">,</w:t>
      </w:r>
      <w:r>
        <w:t xml:space="preserve"> </w:t>
      </w:r>
      <w:r>
        <w:rPr>
          <w:rStyle w:val="VerbatimChar"/>
        </w:rPr>
        <w:t xml:space="preserve">draft_theater_started</w:t>
      </w:r>
      <w:r>
        <w:t xml:space="preserve">,</w:t>
      </w:r>
      <w:r>
        <w:t xml:space="preserve"> </w:t>
      </w:r>
      <w:r>
        <w:rPr>
          <w:rStyle w:val="VerbatimChar"/>
        </w:rPr>
        <w:t xml:space="preserve">assist_opened</w:t>
      </w:r>
      <w:r>
        <w:t xml:space="preserve">,</w:t>
      </w:r>
      <w:r>
        <w:t xml:space="preserve"> </w:t>
      </w:r>
      <w:r>
        <w:rPr>
          <w:rStyle w:val="VerbatimChar"/>
        </w:rPr>
        <w:t xml:space="preserve">assist_question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assist_cta_shown</w:t>
      </w:r>
      <w:r>
        <w:t xml:space="preserve">,</w:t>
      </w:r>
      <w:r>
        <w:t xml:space="preserve"> </w:t>
      </w:r>
      <w:r>
        <w:rPr>
          <w:rStyle w:val="VerbatimChar"/>
        </w:rPr>
        <w:t xml:space="preserve">resource_opened</w:t>
      </w:r>
      <w:r>
        <w:t xml:space="preserve">,</w:t>
      </w:r>
      <w:r>
        <w:t xml:space="preserve"> </w:t>
      </w:r>
      <w:r>
        <w:rPr>
          <w:rStyle w:val="VerbatimChar"/>
        </w:rPr>
        <w:t xml:space="preserve">tool_completed</w:t>
      </w:r>
      <w:r>
        <w:t xml:space="preserve">,</w:t>
      </w:r>
      <w:r>
        <w:t xml:space="preserve"> </w:t>
      </w:r>
      <w:r>
        <w:rPr>
          <w:rStyle w:val="VerbatimChar"/>
        </w:rPr>
        <w:t xml:space="preserve">tool_saved_to_workspace</w:t>
      </w:r>
      <w:r>
        <w:t xml:space="preserve">. Weekly funnel: visitor -&gt; interactive engaged -&gt; assist or tool -&gt; demo click -&gt; booked.</w:t>
      </w:r>
    </w:p>
    <w:bookmarkEnd w:id="38"/>
    <w:bookmarkStart w:id="39" w:name="open-items-for-reid"/>
    <w:p>
      <w:pPr>
        <w:pStyle w:val="Heading2"/>
      </w:pPr>
      <w:r>
        <w:t xml:space="preserve">13. Open items for Reid</w:t>
      </w:r>
    </w:p>
    <w:p>
      <w:pPr>
        <w:numPr>
          <w:ilvl w:val="0"/>
          <w:numId w:val="1004"/>
        </w:numPr>
        <w:pStyle w:val="Compact"/>
      </w:pPr>
      <w:r>
        <w:t xml:space="preserve">(Closed) Design direction approved: Forest and paper.</w:t>
      </w:r>
    </w:p>
    <w:p>
      <w:pPr>
        <w:numPr>
          <w:ilvl w:val="0"/>
          <w:numId w:val="1004"/>
        </w:numPr>
        <w:pStyle w:val="Compact"/>
      </w:pPr>
      <w:r>
        <w:t xml:space="preserve">Supply target dates for Section 10.</w:t>
      </w:r>
    </w:p>
    <w:p>
      <w:pPr>
        <w:numPr>
          <w:ilvl w:val="0"/>
          <w:numId w:val="1004"/>
        </w:numPr>
        <w:pStyle w:val="Compact"/>
      </w:pPr>
      <w:r>
        <w:t xml:space="preserve">Confirm the six org types in Section 4 are the six you want first.</w:t>
      </w:r>
    </w:p>
    <w:p>
      <w:pPr>
        <w:numPr>
          <w:ilvl w:val="0"/>
          <w:numId w:val="1004"/>
        </w:numPr>
        <w:pStyle w:val="Compact"/>
      </w:pPr>
      <w:r>
        <w:t xml:space="preserve">Confirm calendar provider for IX-09 (Cal.com, Calendly, or Google Calendar appointment schedule).</w:t>
      </w:r>
    </w:p>
    <w:p>
      <w:pPr>
        <w:numPr>
          <w:ilvl w:val="0"/>
          <w:numId w:val="1004"/>
        </w:numPr>
        <w:pStyle w:val="Compact"/>
      </w:pPr>
      <w:r>
        <w:t xml:space="preserve">Decide whether the in-app Assist surface ships with Phase A or B.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Supersedes: none. Referenced by: CLAUDE.md (Marketing layer section, to be added in mkt-00).</w:t>
      </w:r>
    </w:p>
    <w:bookmarkEnd w:id="39"/>
    <w:bookmarkEnd w:id="4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2026-08-21T17:01:53Z</dcterms:created>
  <dcterms:modified xsi:type="dcterms:W3CDTF">2026-08-21T17:01:53Z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