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BENAVORA — STANDING DIRECTIVES</w:t>
      </w:r>
    </w:p>
    <w:p>
      <w:r>
        <w:t xml:space="preserve">Version: 1.0 | Issued: July 16, 2026</w:t>
      </w:r>
      <w:r>
        <w:rPr>
          <w:i/>
          <w:iCs/>
        </w:rPr>
        <w:t xml:space="preserve">Version: 1.0 | Issued: July 16, 2026</w:t>
      </w:r>
    </w:p>
    <w:p>
      <w:r>
        <w:t xml:space="preserve">Authority: Founder directive. Supersedes prior scope limitations on these topics.</w:t>
      </w:r>
      <w:r>
        <w:rPr>
          <w:b/>
          <w:bCs/>
        </w:rPr>
        <w:t xml:space="preserve">Authority: Founder directive. Supersedes prior scope limitations on these topics.</w:t>
      </w:r>
    </w:p>
    <w:p/>
    <w:p>
      <w:pPr>
        <w:pStyle w:val="Heading2"/>
      </w:pPr>
      <w:r>
        <w:t xml:space="preserve">Directive 1: Foundation Lead Maximum Enrichment</w:t>
      </w:r>
    </w:p>
    <w:p>
      <w:r>
        <w:t xml:space="preserve">Objective: Every record in foundation_directory (133,812 records) must be enriched to the highest possible fidelity from every available free and open-source data source. This is a continuous pipeline, not a one-time run.</w:t>
      </w:r>
    </w:p>
    <w:p>
      <w:r>
        <w:t xml:space="preserve">Current State: Infrastructure built but never fully executed. IRS 990 parser has confirmed EIN column bug (position 2, parser reads wrong column).</w:t>
      </w:r>
    </w:p>
    <w:p/>
    <w:p>
      <w:r>
        <w:t xml:space="preserve">Mandatory Enrichment Sources (waterfall order):</w:t>
      </w:r>
      <w:r>
        <w:rPr>
          <w:b/>
          <w:bCs/>
        </w:rPr>
        <w:t xml:space="preserve">Mandatory Enrichment Sources (waterfall order):</w:t>
      </w:r>
    </w:p>
    <w:p>
      <w:pPr>
        <w:ind w:left="720"/>
      </w:pPr>
      <w:r>
        <w:t xml:space="preserve">1. IRS 990 e-file XML — EIN, assets, revenue, grants made, officers, website, fiscal year</w:t>
      </w:r>
    </w:p>
    <w:p>
      <w:pPr>
        <w:ind w:left="720"/>
      </w:pPr>
      <w:r>
        <w:t xml:space="preserve">2. IRS BMF CSV — NTEE code, ruling date, subsection code, foundation type</w:t>
      </w:r>
    </w:p>
    <w:p>
      <w:pPr>
        <w:ind w:left="720"/>
      </w:pPr>
      <w:r>
        <w:t xml:space="preserve">3. ProPublica Nonprofit Explorer API — financials, filings history, NTEE</w:t>
      </w:r>
    </w:p>
    <w:p>
      <w:pPr>
        <w:ind w:left="720"/>
      </w:pPr>
      <w:r>
        <w:t xml:space="preserve">4. Candid/GuideStar public data — mission, programs, focus areas</w:t>
      </w:r>
    </w:p>
    <w:p>
      <w:pPr>
        <w:ind w:left="720"/>
      </w:pPr>
      <w:r>
        <w:t xml:space="preserve">5. Foundation website scraper — contact pages, emails, phones, officer names</w:t>
      </w:r>
    </w:p>
    <w:p>
      <w:pPr>
        <w:ind w:left="720"/>
      </w:pPr>
      <w:r>
        <w:t xml:space="preserve">6. OpenCorporates — registered agent, state filing data</w:t>
      </w:r>
    </w:p>
    <w:p>
      <w:pPr>
        <w:ind w:left="720"/>
      </w:pPr>
      <w:r>
        <w:t xml:space="preserve">7. Wikipedia/Wikidata — major foundations (assets &gt; $100M)</w:t>
      </w:r>
    </w:p>
    <w:p>
      <w:pPr>
        <w:ind w:left="720"/>
      </w:pPr>
      <w:r>
        <w:t xml:space="preserve">8. Google Maps Places API — address verification, phone</w:t>
      </w:r>
    </w:p>
    <w:p>
      <w:pPr>
        <w:ind w:left="720"/>
      </w:pPr>
      <w:r>
        <w:t xml:space="preserve">9. SEC EDGAR — foundations with investment portfolios</w:t>
      </w:r>
    </w:p>
    <w:p>
      <w:pPr>
        <w:ind w:left="720"/>
      </w:pPr>
      <w:r>
        <w:t xml:space="preserve">10. State charity registration filings — CA, NY, TX, FL, IL AG databases</w:t>
      </w:r>
    </w:p>
    <w:p>
      <w:pPr>
        <w:ind w:left="720"/>
      </w:pPr>
      <w:r>
        <w:t xml:space="preserve">11. DuckDuckGo / SearXNG web search — fallback website discovery</w:t>
      </w:r>
    </w:p>
    <w:p>
      <w:pPr>
        <w:ind w:left="720"/>
      </w:pPr>
      <w:r>
        <w:t xml:space="preserve">12. LinkedIn public company pages — description, headcount</w:t>
      </w:r>
    </w:p>
    <w:p/>
    <w:p>
      <w:r>
        <w:t xml:space="preserve">Immediate Fix: IRS 990 stream parser EIN column position bug must be resolved before any enrichment run.</w:t>
      </w:r>
    </w:p>
    <w:p/>
    <w:p>
      <w:pPr>
        <w:pStyle w:val="Heading2"/>
      </w:pPr>
      <w:r>
        <w:t xml:space="preserve">Directive 2: 1.8M 501(c)(3) Full Import + Enrichment</w:t>
      </w:r>
    </w:p>
    <w:p>
      <w:r>
        <w:t xml:space="preserve">Objective: Import the complete IRS Business Master File (~1.8M records) into a dedicated nonprofits table. Apply tiered enrichment by revenue size. This is a prospecting database separate from foundation_directory.</w:t>
      </w:r>
    </w:p>
    <w:p/>
    <w:p>
      <w:r>
        <w:t xml:space="preserve">Phase A — Full BMF Import: Download all 50 state + DC IRS BMF CSV files. Deduplicate by EIN. Target: 1.8M records, 4-6 hour runtime.</w:t>
      </w:r>
    </w:p>
    <w:p>
      <w:r>
        <w:t xml:space="preserve">Phase B — Tier-1 Enrichment: ~180K records with revenue &gt; $500K. ProPublica + web scraper pass.</w:t>
      </w:r>
    </w:p>
    <w:p>
      <w:r>
        <w:t xml:space="preserve">Phase C — Foundation Cross-Reference: Match EINs between nonprofits and foundation_directory. Link and merge.</w:t>
      </w:r>
    </w:p>
    <w:p>
      <w:r>
        <w:t xml:space="preserve">Phase D — 298K Prospect CSV Import from D:\dataocean.</w:t>
      </w:r>
    </w:p>
    <w:p/>
    <w:p>
      <w:pPr>
        <w:pStyle w:val="Heading2"/>
      </w:pPr>
      <w:r>
        <w:t xml:space="preserve">Directive 3: Intelligence Library Corpus Rebuild</w:t>
      </w:r>
    </w:p>
    <w:p>
      <w:r>
        <w:t xml:space="preserve">Objective: 2,000+ funded grant proposals across all major federal and foundation funding categories. Currently: 11 NIH proposals with duplicates. Nights 2-7 never executed.</w:t>
      </w:r>
    </w:p>
    <w:p/>
    <w:p>
      <w:r>
        <w:t xml:space="preserve">Immediate Fixes: Add dedup check to all ingestion scripts. Truncate intelligence tables before re-run. Verify embeddings are being generated.</w:t>
      </w:r>
    </w:p>
    <w:p/>
    <w:p>
      <w:r>
        <w:t xml:space="preserve">Remaining build nights: Nights 2-7 from INTELLIGENCE_BUILD_ROADMAP.md. All 8 data ingestion scripts unrun.</w:t>
      </w:r>
    </w:p>
    <w:p/>
    <w:p>
      <w:pPr>
        <w:pStyle w:val="Heading2"/>
      </w:pPr>
      <w:r>
        <w:t xml:space="preserve">Directive 4: UI Redesign — Permanent Methodology</w:t>
      </w:r>
    </w:p>
    <w:p>
      <w:r>
        <w:t xml:space="preserve">Design Spec (locked): Canvas #D6E4F0, Sidebar #1A2B3C, Primary #0077B6, Secondary #00B4D8, Font: Plus Jakarta Sans. Mercury/Ramp fintech aesthetic.</w:t>
      </w:r>
    </w:p>
    <w:p/>
    <w:p>
      <w:r>
        <w:t xml:space="preserve">The Only Method That Works: Inline style={{}} props with hex values directly in JSX. No CSS variables. No Tailwind color tokens. No FORGE for UI.</w:t>
      </w:r>
    </w:p>
    <w:p/>
    <w:p>
      <w:r>
        <w:t xml:space="preserve">Execution Protocol: Read file completely → rewrite from scratch with inline styles → visual verify in browser → one component per CC session, no batching.</w:t>
      </w:r>
    </w:p>
    <w:p/>
    <w:p>
      <w:pPr>
        <w:pStyle w:val="Heading2"/>
      </w:pPr>
      <w:r>
        <w:t xml:space="preserve">Directive 5: Research Section Resources — Enterprise Redesign</w:t>
      </w:r>
    </w:p>
    <w:p>
      <w:r>
        <w:t xml:space="preserve">Objective: Top 21 resources as 3x7 card grid (pinned). All remaining via search bar + alphabetical dropdown. Enterprise quality — fully populated, no stubs.</w:t>
      </w:r>
    </w:p>
    <w:p/>
    <w:p>
      <w:r>
        <w:t xml:space="preserve">Card spec: Logo, name, category badge, 2-sentence description, direct link, data freshness indicator, API badge, Add to Research button.</w:t>
      </w:r>
    </w:p>
    <w:p/>
    <w:p>
      <w:pPr>
        <w:pStyle w:val="Heading2"/>
      </w:pPr>
      <w:r>
        <w:t xml:space="preserve">Directive 6: Comprehensive Daily Test Suite</w:t>
      </w:r>
    </w:p>
    <w:p>
      <w:r>
        <w:t xml:space="preserve">Objective: Full test suite runs automatically every day at 11PM CST. Results visible at /platform/test-results.</w:t>
      </w:r>
    </w:p>
    <w:p/>
    <w:p>
      <w:r>
        <w:t xml:space="preserve">Test types: Smoke, Unit (Jest), Integration (Jest+Supabase), E2E (Playwright), Visual Regression (Playwright), DB Migration, Soak, Cross-Browser (Chrome/Firefox/Safari), Dynamic Analysis (Zod), Regression.</w:t>
      </w:r>
    </w:p>
    <w:p/>
    <w:p>
      <w:r>
        <w:t xml:space="preserve">Automation: GitHub Actions at 05:00 UTC daily. Results written to Supabase test_runs table.</w:t>
      </w:r>
    </w:p>
    <w:p/>
    <w:p>
      <w:pPr>
        <w:pStyle w:val="Heading2"/>
      </w:pPr>
      <w:r>
        <w:t xml:space="preserve">Governance Update Requirements</w:t>
      </w:r>
    </w:p>
    <w:p>
      <w:r>
        <w:t xml:space="preserve">Every session touching any Directive must update: STATE_OF_THE_BUILD.md, SESSION_STATE.md, SCHEMA_REGISTRY.md, BLUEPRINT.md. These updates are mandatory — the last step of every Claude Code run.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2026-07-16T19:58:11.537Z</dcterms:created>
  <dcterms:modified xsi:type="dcterms:W3CDTF">2026-07-16T19:58:11.537Z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