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before="0" w:line="276" w:lineRule="auto"/>
        <w:rPr/>
      </w:pPr>
      <w:r w:rsidDel="00000000" w:rsidR="00000000" w:rsidRPr="00000000">
        <w:rPr>
          <w:rtl w:val="0"/>
        </w:rPr>
        <w:t xml:space="preserve">The purpose of this assessment is to explore possible threats that arise from having the customer database accessible by the public and the consequences that could arise from an attack on or failure of the database. The database c</w:t>
      </w:r>
      <w:r w:rsidDel="00000000" w:rsidR="00000000" w:rsidRPr="00000000">
        <w:rPr>
          <w:rtl w:val="0"/>
        </w:rPr>
        <w:t xml:space="preserve">ontains critical information about customers to be accessed by employees remotely. If the customer information on the server is accessed by malicious actors it would be possible for them to steal sensitive customer information such as financial credentials and addresses, among other things. If the server were disabled it would likely become nearly impossible for employees of the company to continue normal operations, as the information they need regarding the customers is stored there.</w:t>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3540"/>
        <w:gridCol w:w="1395"/>
        <w:gridCol w:w="1320"/>
        <w:gridCol w:w="1110"/>
        <w:tblGridChange w:id="0">
          <w:tblGrid>
            <w:gridCol w:w="1935"/>
            <w:gridCol w:w="3540"/>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Competitor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Disgruntled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Denial of Service (DoS)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rHeight w:val="8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Hacker/Hacktivist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Spoofed SSL/TLS 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bl>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3">
      <w:pPr>
        <w:rPr/>
      </w:pPr>
      <w:r w:rsidDel="00000000" w:rsidR="00000000" w:rsidRPr="00000000">
        <w:rPr>
          <w:rtl w:val="0"/>
        </w:rPr>
        <w:t xml:space="preserve">I selected the threat sources outlined previously based off of what groups or individuals would have the most motivation to hurt the organization. A competitor organization could stand to gain large amounts of valuable information from such a database, however I feel they would be unlikely to act on the opportunity due to potential repercussions. A disgruntled customer may wish to hurt business operations as a form of revenge for perceived poor services received, however I feel that in most cases it is unlikely that they would possess the technical knowledge to conduct a DoS or other attack. Though still, it is a threat presented by the current configuration of the database. Finally, I feel a hacker or hacktivist would present the most likely threat, as if a malicious hacker were to learn of the vulnerabilities it is very likely they would take advantage of them to obtain information such as customer financial data and to generally harm the reputation of the organization.</w:t>
      </w:r>
    </w:p>
    <w:p w:rsidR="00000000" w:rsidDel="00000000" w:rsidP="00000000" w:rsidRDefault="00000000" w:rsidRPr="00000000" w14:paraId="0000002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 it is necessary to implement thorough access controls to ensure the confidentiality of the information. Strong password policies, role-based access privileges, and multifactor authentication processes are three ways to contribute to this end. Additionally, encryption of data while in motion using TLS would be a more effective method to protect the data than the current implementation of SSL. Finally, allow-listing only the approved IP addresses, such as corporate offices, would be an effective method of ensuring that random users on the internet are not able to connect to the database and access the sensitive information.</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