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东方财富（300059.SZ）午间分析报告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今日全市场情绪回暖，</w:t>
      </w:r>
      <w:r>
        <w:rPr>
          <w:rFonts w:ascii="Microsoft YaHei" w:hAnsi="Microsoft YaHei"/>
          <w:b/>
          <w:color w:val="1A1A1A"/>
        </w:rPr>
        <w:t>上涨占比达到78%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；涨停58只，跌停19只。市场热度评分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，成交额放量至 </w:t>
      </w:r>
      <w:r>
        <w:rPr>
          <w:rFonts w:ascii="Microsoft YaHei" w:hAnsi="Microsoft YaHei"/>
          <w:b/>
          <w:color w:val="1A1A1A"/>
        </w:rPr>
        <w:t>1.48万亿（+1516亿）</w:t>
      </w:r>
      <w:r>
        <w:rPr>
          <w:rFonts w:ascii="Microsoft YaHei" w:hAnsi="Microsoft YaHei"/>
        </w:rPr>
        <w:t xml:space="preserve">，量能显著回升。赚钱效应指标为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，虽未过半数但已较前期改善。涨停梯队方面，一板51只（晋级率7%）、二板3只（晋级率23%）、三板3只（晋级率33%）、高度板1只，连板高度尚可但一板晋级率偏低，短线做多情绪温和修复。</w:t>
      </w:r>
    </w:p>
    <w:p>
      <w:r>
        <w:rPr>
          <w:rFonts w:ascii="Microsoft YaHei" w:hAnsi="Microsoft YaHei"/>
        </w:rPr>
        <w:t xml:space="preserve">涨跌幅分布显示，涨幅集中在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区间，跌幅集中在 </w:t>
      </w:r>
      <w:r>
        <w:rPr>
          <w:rFonts w:ascii="Microsoft YaHei" w:hAnsi="Microsoft YaHei"/>
          <w:b/>
          <w:color w:val="1A1A1A"/>
        </w:rPr>
        <w:t>-4%~-1%</w:t>
      </w:r>
      <w:r>
        <w:rPr>
          <w:rFonts w:ascii="Microsoft YaHei" w:hAnsi="Microsoft YaHei"/>
        </w:rPr>
        <w:t xml:space="preserve"> 区间，整体呈现普涨特征，但权重股带动效应更为显著。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20.18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19.70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19.80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20.43 / 19.80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3,831,378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770,001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20.10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21.36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3,192.92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2,694.70 亿元</w:t>
            </w:r>
          </w:p>
        </w:tc>
      </w:tr>
    </w:tbl>
    <w:p/>
    <w:p>
      <w:r>
        <w:rPr>
          <w:rFonts w:ascii="Microsoft YaHei" w:hAnsi="Microsoft YaHei"/>
        </w:rPr>
        <w:t xml:space="preserve">东方财富今日高开（19.80元）后震荡走高，盘中触及 </w:t>
      </w:r>
      <w:r>
        <w:rPr>
          <w:rFonts w:ascii="Microsoft YaHei" w:hAnsi="Microsoft YaHei"/>
          <w:b/>
          <w:color w:val="1A1A1A"/>
        </w:rPr>
        <w:t>20.43元</w:t>
      </w:r>
      <w:r>
        <w:rPr>
          <w:rFonts w:ascii="Microsoft YaHei" w:hAnsi="Microsoft YaHei"/>
        </w:rPr>
        <w:t xml:space="preserve"> 高点，午盘收于 </w:t>
      </w:r>
      <w:r>
        <w:rPr>
          <w:rFonts w:ascii="Microsoft YaHei" w:hAnsi="Microsoft YaHei"/>
          <w:b/>
          <w:color w:val="1A1A1A"/>
        </w:rPr>
        <w:t>20.18元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+2.44%</w:t>
      </w:r>
      <w:r>
        <w:rPr>
          <w:rFonts w:ascii="Microsoft YaHei" w:hAnsi="Microsoft YaHei"/>
        </w:rPr>
        <w:t xml:space="preserve">，显著跑赢大盘平均水平。半日成交额 </w:t>
      </w:r>
      <w:r>
        <w:rPr>
          <w:rFonts w:ascii="Microsoft YaHei" w:hAnsi="Microsoft YaHei"/>
          <w:b/>
          <w:color w:val="1A1A1A"/>
        </w:rPr>
        <w:t>77亿元</w:t>
      </w:r>
      <w:r>
        <w:rPr>
          <w:rFonts w:ascii="Microsoft YaHei" w:hAnsi="Microsoft YaHei"/>
        </w:rPr>
        <w:t>，交投活跃。</w:t>
      </w:r>
    </w:p>
    <w:p>
      <w:r>
        <w:rPr>
          <w:rFonts w:ascii="Microsoft YaHei" w:hAnsi="Microsoft YaHei"/>
          <w:b/>
          <w:color w:val="1A1A1A"/>
        </w:rPr>
        <w:t>放量特征明显</w:t>
      </w:r>
      <w:r>
        <w:rPr>
          <w:rFonts w:ascii="Microsoft YaHei" w:hAnsi="Microsoft YaHei"/>
        </w:rPr>
        <w:t xml:space="preserve">：今日午间换手率 </w:t>
      </w:r>
      <w:r>
        <w:rPr>
          <w:rFonts w:ascii="Microsoft YaHei" w:hAnsi="Microsoft YaHei"/>
          <w:b/>
          <w:color w:val="1A1A1A"/>
        </w:rPr>
        <w:t>2.87%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1.256%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2.29倍</w:t>
      </w:r>
      <w:r>
        <w:rPr>
          <w:rFonts w:ascii="Microsoft YaHei" w:hAnsi="Microsoft YaHei"/>
        </w:rPr>
        <w:t xml:space="preserve">，属于显著放量上涨。外盘 </w:t>
      </w:r>
      <w:r>
        <w:rPr>
          <w:rFonts w:ascii="Microsoft YaHei" w:hAnsi="Microsoft YaHei"/>
          <w:b/>
          <w:color w:val="1A1A1A"/>
        </w:rPr>
        <w:t>2,081,577手</w:t>
      </w:r>
      <w:r>
        <w:rPr>
          <w:rFonts w:ascii="Microsoft YaHei" w:hAnsi="Microsoft YaHei"/>
        </w:rPr>
        <w:t xml:space="preserve"> 明显高于内盘 </w:t>
      </w:r>
      <w:r>
        <w:rPr>
          <w:rFonts w:ascii="Microsoft YaHei" w:hAnsi="Microsoft YaHei"/>
          <w:b/>
          <w:color w:val="1A1A1A"/>
        </w:rPr>
        <w:t>1,749,801手</w:t>
      </w:r>
      <w:r>
        <w:rPr>
          <w:rFonts w:ascii="Microsoft YaHei" w:hAnsi="Microsoft YaHei"/>
        </w:rPr>
        <w:t>，买方主动性更强，买盘承接意愿较强。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3.80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统计分钟数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121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7,593.2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3,301.0 万</w:t>
            </w:r>
          </w:p>
        </w:tc>
      </w:tr>
    </w:tbl>
    <w:p/>
    <w:p>
      <w:r>
        <w:rPr>
          <w:rFonts w:ascii="Microsoft YaHei" w:hAnsi="Microsoft YaHei"/>
        </w:rPr>
        <w:t xml:space="preserve">今日资金面呈现 </w:t>
      </w:r>
      <w:r>
        <w:rPr>
          <w:rFonts w:ascii="Microsoft YaHei" w:hAnsi="Microsoft YaHei"/>
          <w:b/>
          <w:color w:val="1A1A1A"/>
        </w:rPr>
        <w:t>净流入格局</w:t>
      </w:r>
      <w:r>
        <w:rPr>
          <w:rFonts w:ascii="Microsoft YaHei" w:hAnsi="Microsoft YaHei"/>
        </w:rPr>
        <w:t xml:space="preserve">，净流入 </w:t>
      </w:r>
      <w:r>
        <w:rPr>
          <w:rFonts w:ascii="Microsoft YaHei" w:hAnsi="Microsoft YaHei"/>
          <w:b/>
          <w:color w:val="1A1A1A"/>
        </w:rPr>
        <w:t>3.80亿元</w:t>
      </w:r>
      <w:r>
        <w:rPr>
          <w:rFonts w:ascii="Microsoft YaHei" w:hAnsi="Microsoft YaHei"/>
        </w:rPr>
        <w:t xml:space="preserve">。资金流入分钟数（71分钟）显著多于流出分钟数（50分钟），说明资金持续介入意愿较强。最大单分钟流入高达 </w:t>
      </w:r>
      <w:r>
        <w:rPr>
          <w:rFonts w:ascii="Microsoft YaHei" w:hAnsi="Microsoft YaHei"/>
          <w:b/>
          <w:color w:val="1A1A1A"/>
        </w:rPr>
        <w:t>7593万元</w:t>
      </w:r>
      <w:r>
        <w:rPr>
          <w:rFonts w:ascii="Microsoft YaHei" w:hAnsi="Microsoft YaHei"/>
        </w:rPr>
        <w:t>，显示盘中存在大资金主动扫货行为。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+25,328,649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68,795,781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43,467,132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+239,413,038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987,493,807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748,080,769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+115,379,554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634,818,636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519,439,082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+380,121,241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上一交易日三大资金维度（大单、中单、小单）全线净流入，合计净流入 </w:t>
      </w:r>
      <w:r>
        <w:rPr>
          <w:rFonts w:ascii="Microsoft YaHei" w:hAnsi="Microsoft YaHei"/>
          <w:b/>
          <w:color w:val="1A1A1A"/>
        </w:rPr>
        <w:t>3.80亿元</w:t>
      </w:r>
      <w:r>
        <w:rPr>
          <w:rFonts w:ascii="Microsoft YaHei" w:hAnsi="Microsoft YaHei"/>
        </w:rPr>
        <w:t>，与今日盘中资金流向方向一致，资金面形成连续正向支撑。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236.05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0.49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-0.46%</w:t>
            </w:r>
          </w:p>
        </w:tc>
      </w:tr>
    </w:tbl>
    <w:p/>
    <w:p>
      <w:r>
        <w:rPr>
          <w:rFonts w:ascii="Microsoft YaHei" w:hAnsi="Microsoft YaHei"/>
        </w:rPr>
        <w:t xml:space="preserve">融资余额小幅回落0.56%，但绝对规模仍维持在 </w:t>
      </w:r>
      <w:r>
        <w:rPr>
          <w:rFonts w:ascii="Microsoft YaHei" w:hAnsi="Microsoft YaHei"/>
          <w:b/>
          <w:color w:val="1A1A1A"/>
        </w:rPr>
        <w:t>236亿元</w:t>
      </w:r>
      <w:r>
        <w:rPr>
          <w:rFonts w:ascii="Microsoft YaHei" w:hAnsi="Microsoft YaHei"/>
        </w:rPr>
        <w:t xml:space="preserve"> 高位，反映杠杆资金对东方财富的中长期看好并未根本性动摇。融券余额仅0.49亿，做空力量极弱。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MA5（约19.95元）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MA10（约19.87元）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布林中轨（约20.22元）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21.30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19.14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技术面解读：</w:t>
      </w:r>
    </w:p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20.18元</w:t>
      </w:r>
      <w:r>
        <w:rPr>
          <w:rFonts w:ascii="Microsoft YaHei" w:hAnsi="Microsoft YaHei"/>
        </w:rPr>
        <w:t xml:space="preserve"> 站稳于MA5（19.95元）和MA10（19.87元）之上，短期均线系统形成支撑。但当前价略低于MA20/布林中轨（20.22元），偏离度仅 </w:t>
      </w:r>
      <w:r>
        <w:rPr>
          <w:rFonts w:ascii="Microsoft YaHei" w:hAnsi="Microsoft YaHei"/>
          <w:b/>
          <w:color w:val="1A1A1A"/>
        </w:rPr>
        <w:t>-0.2%</w:t>
      </w:r>
      <w:r>
        <w:rPr>
          <w:rFonts w:ascii="Microsoft YaHei" w:hAnsi="Microsoft YaHei"/>
        </w:rPr>
        <w:t>，处于即将突破或遇阻回踩的临界点。</w:t>
      </w:r>
    </w:p>
    <w:p>
      <w:r>
        <w:rPr>
          <w:rFonts w:ascii="Microsoft YaHei" w:hAnsi="Microsoft YaHei"/>
        </w:rPr>
        <w:t xml:space="preserve">布林带宽度为 </w:t>
      </w:r>
      <w:r>
        <w:rPr>
          <w:rFonts w:ascii="Microsoft YaHei" w:hAnsi="Microsoft YaHei"/>
          <w:b/>
          <w:color w:val="1A1A1A"/>
        </w:rPr>
        <w:t>19.14~21.30元</w:t>
      </w:r>
      <w:r>
        <w:rPr>
          <w:rFonts w:ascii="Microsoft YaHei" w:hAnsi="Microsoft YaHei"/>
        </w:rPr>
        <w:t>，当前价格位于中轨附近，既非超买也非超卖，处于多空相对均衡的区间。</w:t>
      </w:r>
      <w:r>
        <w:rPr>
          <w:rFonts w:ascii="Microsoft YaHei" w:hAnsi="Microsoft YaHei"/>
          <w:b/>
          <w:color w:val="1A1A1A"/>
        </w:rPr>
        <w:t>20.22元</w:t>
      </w:r>
      <w:r>
        <w:rPr>
          <w:rFonts w:ascii="Microsoft YaHei" w:hAnsi="Microsoft YaHei"/>
        </w:rPr>
        <w:t>（中轨/MA20）是下午盘面的关键分水岭——若能有效站上并站稳，则技术形态将转为多头排列；若受阻回落，则可能继续围绕20元附近震荡整固。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今日涉及东方财富的相关快讯共有两条，均为宏观资讯，无直接针对公司的公告或重大事项。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快讯一：隔夜全球要闻（相关度0.30）</w:t>
      </w:r>
    </w:p>
    <w:p>
      <w:pPr>
        <w:pStyle w:val="ListBullet"/>
      </w:pPr>
      <w:r>
        <w:rPr>
          <w:rFonts w:ascii="Microsoft YaHei" w:hAnsi="Microsoft YaHei"/>
        </w:rPr>
        <w:t>美股三大指数涨跌不一，道指+0.51%，纳指-0.18%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中概股龙头指数收涨1.22%</w:t>
      </w:r>
      <w:r>
        <w:rPr>
          <w:rFonts w:ascii="Microsoft YaHei" w:hAnsi="Microsoft YaHei"/>
        </w:rPr>
        <w:t>，对A股情绪有正向传导</w:t>
      </w:r>
    </w:p>
    <w:p>
      <w:pPr>
        <w:pStyle w:val="ListBullet"/>
      </w:pPr>
      <w:r>
        <w:rPr>
          <w:rFonts w:ascii="Microsoft YaHei" w:hAnsi="Microsoft YaHei"/>
        </w:rPr>
        <w:t>国际原油期货结算价大跌近9%，降低通胀压力预期</w:t>
      </w:r>
    </w:p>
    <w:p>
      <w:pPr>
        <w:pStyle w:val="ListBullet"/>
      </w:pPr>
      <w:r>
        <w:rPr>
          <w:rFonts w:ascii="Microsoft YaHei" w:hAnsi="Microsoft YaHei"/>
        </w:rPr>
        <w:t>利多方面：中概股上涨、通胀预期降温利好成长股估值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快讯二：财联社早间新闻精选（相关度0.45）</w:t>
      </w:r>
    </w:p>
    <w:p>
      <w:pPr>
        <w:pStyle w:val="ListBullet"/>
      </w:pPr>
      <w:r>
        <w:rPr>
          <w:rFonts w:ascii="Microsoft YaHei" w:hAnsi="Microsoft YaHei"/>
        </w:rPr>
        <w:t>商务部就美方301调查表态，中方保留采取必要措施的权利——贸易摩擦风险可控</w:t>
      </w:r>
    </w:p>
    <w:p>
      <w:pPr>
        <w:pStyle w:val="ListBullet"/>
      </w:pPr>
      <w:r>
        <w:rPr>
          <w:rFonts w:ascii="Microsoft YaHei" w:hAnsi="Microsoft YaHei"/>
        </w:rPr>
        <w:t xml:space="preserve">银行理财市场存续规模 </w:t>
      </w:r>
      <w:r>
        <w:rPr>
          <w:rFonts w:ascii="Microsoft YaHei" w:hAnsi="Microsoft YaHei"/>
          <w:b/>
          <w:color w:val="1A1A1A"/>
        </w:rPr>
        <w:t>33.66万亿元</w:t>
      </w:r>
      <w:r>
        <w:rPr>
          <w:rFonts w:ascii="Microsoft YaHei" w:hAnsi="Microsoft YaHei"/>
        </w:rPr>
        <w:t>，同比+9.75%——资管行业景气度向好</w:t>
      </w:r>
    </w:p>
    <w:p>
      <w:pPr>
        <w:pStyle w:val="ListBullet"/>
      </w:pPr>
      <w:r>
        <w:rPr>
          <w:rFonts w:ascii="Microsoft YaHei" w:hAnsi="Microsoft YaHei"/>
        </w:rPr>
        <w:t>房地产贷款余额同比下降4.9%——地产链承压，但对东方财富影响有限</w:t>
      </w:r>
    </w:p>
    <w:p>
      <w:pPr>
        <w:pStyle w:val="ListBullet"/>
      </w:pPr>
      <w:r>
        <w:rPr>
          <w:rFonts w:ascii="Microsoft YaHei" w:hAnsi="Microsoft YaHei"/>
        </w:rPr>
        <w:t xml:space="preserve">金山办公预计上半年净利润同比增长 </w:t>
      </w:r>
      <w:r>
        <w:rPr>
          <w:rFonts w:ascii="Microsoft YaHei" w:hAnsi="Microsoft YaHei"/>
          <w:b/>
          <w:color w:val="1A1A1A"/>
        </w:rPr>
        <w:t>210%~264%</w:t>
      </w:r>
      <w:r>
        <w:rPr>
          <w:rFonts w:ascii="Microsoft YaHei" w:hAnsi="Microsoft YaHei"/>
        </w:rPr>
        <w:t>——软件/金融科技板块情绪提振</w:t>
      </w:r>
    </w:p>
    <w:p>
      <w:pPr>
        <w:pStyle w:val="ListBullet"/>
      </w:pPr>
      <w:r>
        <w:rPr>
          <w:rFonts w:ascii="Microsoft YaHei" w:hAnsi="Microsoft YaHei"/>
        </w:rPr>
        <w:t>美股费城半导体指数跌4.49%——但中概股逆势收涨</w:t>
      </w:r>
    </w:p>
    <w:p>
      <w:r>
        <w:rPr>
          <w:rFonts w:ascii="Microsoft YaHei" w:hAnsi="Microsoft YaHei"/>
          <w:b/>
          <w:color w:val="1A1A1A"/>
        </w:rPr>
        <w:t>综合影响判断：</w:t>
      </w:r>
      <w:r>
        <w:rPr>
          <w:rFonts w:ascii="Microsoft YaHei" w:hAnsi="Microsoft YaHei"/>
        </w:rPr>
        <w:t xml:space="preserve"> 两条快讯偏中性略正面，宏观环境整体温和，无对东方财富构成直接利空的因素。中概股上涨和资管行业数据向好，对东方财富的金融科技和财富管理业务逻辑形成间接支撑。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东方财富在多个核心板块中排名靠前，表现优于板块均值：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投资银行业与经纪业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9/48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+1.61%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29/121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资本市场(A股)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+1.47%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11/58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金融服务Ⅱ(A股)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14/74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期货概念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+0.99%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15/71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156/319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互联网金融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38/207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关键发现：</w:t>
      </w:r>
    </w:p>
    <w:p>
      <w:pPr>
        <w:pStyle w:val="ListBullet"/>
      </w:pPr>
      <w:r>
        <w:rPr>
          <w:rFonts w:ascii="Microsoft YaHei" w:hAnsi="Microsoft YaHei"/>
        </w:rPr>
        <w:t xml:space="preserve">东方财富在 </w:t>
      </w:r>
      <w:r>
        <w:rPr>
          <w:rFonts w:ascii="Microsoft YaHei" w:hAnsi="Microsoft YaHei"/>
          <w:b/>
          <w:color w:val="1A1A1A"/>
        </w:rPr>
        <w:t>投资银行业与经纪业</w:t>
      </w:r>
      <w:r>
        <w:rPr>
          <w:rFonts w:ascii="Microsoft YaHei" w:hAnsi="Microsoft YaHei"/>
        </w:rPr>
        <w:t xml:space="preserve"> 板块中排名 </w:t>
      </w:r>
      <w:r>
        <w:rPr>
          <w:rFonts w:ascii="Microsoft YaHei" w:hAnsi="Microsoft YaHei"/>
          <w:b/>
          <w:color w:val="1A1A1A"/>
        </w:rPr>
        <w:t>9/48</w:t>
      </w:r>
      <w:r>
        <w:rPr>
          <w:rFonts w:ascii="Microsoft YaHei" w:hAnsi="Microsoft YaHei"/>
        </w:rPr>
        <w:t>，属第一梯队，领涨券商板块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金融(A股)</w:t>
      </w:r>
      <w:r>
        <w:rPr>
          <w:rFonts w:ascii="Microsoft YaHei" w:hAnsi="Microsoft YaHei"/>
        </w:rPr>
        <w:t xml:space="preserve"> 板块整体上涨 +1.61%，其中厦门银行 +6.82%、中国太保 +6.32%、广发证券 +5.19%领涨，行业整体强势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互联网金融</w:t>
      </w:r>
      <w:r>
        <w:rPr>
          <w:rFonts w:ascii="Microsoft YaHei" w:hAnsi="Microsoft YaHei"/>
        </w:rPr>
        <w:t xml:space="preserve"> 板块微跌 -0.29%，但东方财富逆势上涨 +2.44%，板块内排名 </w:t>
      </w:r>
      <w:r>
        <w:rPr>
          <w:rFonts w:ascii="Microsoft YaHei" w:hAnsi="Microsoft YaHei"/>
          <w:b/>
          <w:color w:val="1A1A1A"/>
        </w:rPr>
        <w:t>38/207</w:t>
      </w:r>
      <w:r>
        <w:rPr>
          <w:rFonts w:ascii="Microsoft YaHei" w:hAnsi="Microsoft YaHei"/>
        </w:rPr>
        <w:t>，说明其个股α属性较强</w:t>
      </w:r>
    </w:p>
    <w:p>
      <w:pPr>
        <w:pStyle w:val="ListBullet"/>
      </w:pPr>
      <w:r>
        <w:rPr>
          <w:rFonts w:ascii="Microsoft YaHei" w:hAnsi="Microsoft YaHei"/>
        </w:rPr>
        <w:t xml:space="preserve">沪深300样本股中东方财富排名 </w:t>
      </w:r>
      <w:r>
        <w:rPr>
          <w:rFonts w:ascii="Microsoft YaHei" w:hAnsi="Microsoft YaHei"/>
          <w:b/>
          <w:color w:val="1A1A1A"/>
        </w:rPr>
        <w:t>156/319</w:t>
      </w:r>
      <w:r>
        <w:rPr>
          <w:rFonts w:ascii="Microsoft YaHei" w:hAnsi="Microsoft YaHei"/>
        </w:rPr>
        <w:t>，处于中上游水平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热度57（高），上涨78%，赚钱效应改善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放量上涨+2.44%，站稳短期均线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净流入3.80亿，内外盘买盘活跃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融资余额236亿高位，杠杆资金稳定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中性偏正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站上MA5/MA10，面临MA20/中轨20.22元考验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关键临界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新闻资讯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宏观面中性偏暖，无公司层面利空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中性偏正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金融板块整体走强，个股排名靠前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东方财富今日半日表现强劲，</w:t>
      </w:r>
      <w:r>
        <w:rPr>
          <w:rFonts w:ascii="Microsoft YaHei" w:hAnsi="Microsoft YaHei"/>
          <w:b/>
          <w:color w:val="1A1A1A"/>
        </w:rPr>
        <w:t>放量上涨+2.44%</w:t>
      </w:r>
      <w:r>
        <w:rPr>
          <w:rFonts w:ascii="Microsoft YaHei" w:hAnsi="Microsoft YaHei"/>
        </w:rPr>
        <w:t xml:space="preserve">，成交额高达77亿元，资金净流入 </w:t>
      </w:r>
      <w:r>
        <w:rPr>
          <w:rFonts w:ascii="Microsoft YaHei" w:hAnsi="Microsoft YaHei"/>
          <w:b/>
          <w:color w:val="1A1A1A"/>
        </w:rPr>
        <w:t>3.80亿元</w:t>
      </w:r>
      <w:r>
        <w:rPr>
          <w:rFonts w:ascii="Microsoft YaHei" w:hAnsi="Microsoft YaHei"/>
        </w:rPr>
        <w:t xml:space="preserve">，量价配合良好。金融板块整体回暖（+1.61%），券商龙头广发证券（+5.19%）、中信证券（+2.46%）等集体走强，板块共振效应明显。东方财富在投资银行业与经纪业板块中排名 </w:t>
      </w:r>
      <w:r>
        <w:rPr>
          <w:rFonts w:ascii="Microsoft YaHei" w:hAnsi="Microsoft YaHei"/>
          <w:b/>
          <w:color w:val="1A1A1A"/>
        </w:rPr>
        <w:t>9/48</w:t>
      </w:r>
      <w:r>
        <w:rPr>
          <w:rFonts w:ascii="Microsoft YaHei" w:hAnsi="Microsoft YaHei"/>
        </w:rPr>
        <w:t>，体现出较强的龙头溢价能力。</w:t>
      </w:r>
    </w:p>
    <w:p>
      <w:r>
        <w:rPr>
          <w:rFonts w:ascii="Microsoft YaHei" w:hAnsi="Microsoft YaHei"/>
          <w:b/>
          <w:color w:val="1A1A1A"/>
        </w:rPr>
        <w:t>下午盘面关键看点在于20.22元（MA20/布林中轨）的得失</w:t>
      </w:r>
      <w:r>
        <w:rPr>
          <w:rFonts w:ascii="Microsoft YaHei" w:hAnsi="Microsoft YaHei"/>
        </w:rPr>
        <w:t xml:space="preserve">。若能放量突破并站稳，则短期均线将形成多头排列，有望向上挑战布林带上轨 </w:t>
      </w:r>
      <w:r>
        <w:rPr>
          <w:rFonts w:ascii="Microsoft YaHei" w:hAnsi="Microsoft YaHei"/>
          <w:b/>
          <w:color w:val="1A1A1A"/>
        </w:rPr>
        <w:t>21.30元</w:t>
      </w:r>
      <w:r>
        <w:rPr>
          <w:rFonts w:ascii="Microsoft YaHei" w:hAnsi="Microsoft YaHei"/>
        </w:rPr>
        <w:t xml:space="preserve">；若受阻回落，则大概率在 </w:t>
      </w:r>
      <w:r>
        <w:rPr>
          <w:rFonts w:ascii="Microsoft YaHei" w:hAnsi="Microsoft YaHei"/>
          <w:b/>
          <w:color w:val="1A1A1A"/>
        </w:rPr>
        <w:t>19.95~20.22元</w:t>
      </w:r>
      <w:r>
        <w:rPr>
          <w:rFonts w:ascii="Microsoft YaHei" w:hAnsi="Microsoft YaHei"/>
        </w:rPr>
        <w:t xml:space="preserve"> 区间震荡整固。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融资余额小幅回落（-0.56%）需持续观察，若午后量能无法延续放大，可能面临冲高回落压力。此外，互联网金融板块整体仍偏弱（-0.29%），需关注板块内部分化是否加剧。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东方财富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