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中信建投（601066.SH）午间分析报告</w:t>
      </w:r>
    </w:p>
    <w:p>
      <w:r>
        <w:rPr>
          <w:rFonts w:ascii="Microsoft YaHei" w:hAnsi="Microsoft YaHei"/>
        </w:rPr>
        <w:t xml:space="preserve">&gt; </w:t>
      </w:r>
      <w:r>
        <w:rPr>
          <w:rFonts w:ascii="Microsoft YaHei" w:hAnsi="Microsoft YaHei"/>
          <w:b/>
          <w:color w:val="1A1A1A"/>
        </w:rPr>
        <w:t>数据截止</w:t>
      </w:r>
      <w:r>
        <w:rPr>
          <w:rFonts w:ascii="Microsoft YaHei" w:hAnsi="Microsoft YaHei"/>
        </w:rPr>
        <w:t xml:space="preserve">：今日 11:30 收盘 | </w:t>
      </w:r>
      <w:r>
        <w:rPr>
          <w:rFonts w:ascii="Microsoft YaHei" w:hAnsi="Microsoft YaHei"/>
          <w:b/>
          <w:color w:val="1A1A1A"/>
        </w:rPr>
        <w:t>观点仅供参考，投资有风险</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一、市场概况</w:t>
      </w:r>
    </w:p>
    <w:p>
      <w:r>
        <w:rPr>
          <w:rFonts w:ascii="Microsoft YaHei" w:hAnsi="Microsoft YaHei"/>
        </w:rPr>
        <w:t xml:space="preserve">今日早盘A股整体情绪偏暖。全市场成交额 </w:t>
      </w:r>
      <w:r>
        <w:rPr>
          <w:rFonts w:ascii="Microsoft YaHei" w:hAnsi="Microsoft YaHei"/>
          <w:b/>
          <w:color w:val="1A1A1A"/>
        </w:rPr>
        <w:t>1.48万亿</w:t>
      </w:r>
      <w:r>
        <w:rPr>
          <w:rFonts w:ascii="Microsoft YaHei" w:hAnsi="Microsoft YaHei"/>
        </w:rPr>
        <w:t xml:space="preserve">（较前日增量 </w:t>
      </w:r>
      <w:r>
        <w:rPr>
          <w:rFonts w:ascii="Microsoft YaHei" w:hAnsi="Microsoft YaHei"/>
          <w:b/>
          <w:color w:val="1A1A1A"/>
        </w:rPr>
        <w:t>+1,516亿</w:t>
      </w:r>
      <w:r>
        <w:rPr>
          <w:rFonts w:ascii="Microsoft YaHei" w:hAnsi="Microsoft YaHei"/>
        </w:rPr>
        <w:t xml:space="preserve">），上涨个股 </w:t>
      </w:r>
      <w:r>
        <w:rPr>
          <w:rFonts w:ascii="Microsoft YaHei" w:hAnsi="Microsoft YaHei"/>
          <w:b/>
          <w:color w:val="1A1A1A"/>
        </w:rPr>
        <w:t>3,431只</w:t>
      </w:r>
      <w:r>
        <w:rPr>
          <w:rFonts w:ascii="Microsoft YaHei" w:hAnsi="Microsoft YaHei"/>
        </w:rPr>
        <w:t xml:space="preserve">（占比约78%），涨停 </w:t>
      </w:r>
      <w:r>
        <w:rPr>
          <w:rFonts w:ascii="Microsoft YaHei" w:hAnsi="Microsoft YaHei"/>
          <w:b/>
          <w:color w:val="1A1A1A"/>
        </w:rPr>
        <w:t>58只</w:t>
      </w:r>
      <w:r>
        <w:rPr>
          <w:rFonts w:ascii="Microsoft YaHei" w:hAnsi="Microsoft YaHei"/>
        </w:rPr>
        <w:t xml:space="preserve">，跌停 </w:t>
      </w:r>
      <w:r>
        <w:rPr>
          <w:rFonts w:ascii="Microsoft YaHei" w:hAnsi="Microsoft YaHei"/>
          <w:b/>
          <w:color w:val="1A1A1A"/>
        </w:rPr>
        <w:t>19只</w:t>
      </w:r>
      <w:r>
        <w:rPr>
          <w:rFonts w:ascii="Microsoft YaHei" w:hAnsi="Microsoft YaHei"/>
        </w:rPr>
        <w:t xml:space="preserve">。市场热度指数 </w:t>
      </w:r>
      <w:r>
        <w:rPr>
          <w:rFonts w:ascii="Microsoft YaHei" w:hAnsi="Microsoft YaHei"/>
          <w:b/>
          <w:color w:val="1A1A1A"/>
        </w:rPr>
        <w:t>57</w:t>
      </w:r>
      <w:r>
        <w:rPr>
          <w:rFonts w:ascii="Microsoft YaHei" w:hAnsi="Microsoft YaHei"/>
        </w:rPr>
        <w:t xml:space="preserve">（高位），赚钱效应 </w:t>
      </w:r>
      <w:r>
        <w:rPr>
          <w:rFonts w:ascii="Microsoft YaHei" w:hAnsi="Microsoft YaHei"/>
          <w:b/>
          <w:color w:val="1A1A1A"/>
        </w:rPr>
        <w:t>46%</w:t>
      </w:r>
      <w:r>
        <w:rPr>
          <w:rFonts w:ascii="Microsoft YaHei" w:hAnsi="Microsoft YaHei"/>
        </w:rPr>
        <w:t>，呈"指数与个股共振上行"格局。</w:t>
      </w:r>
    </w:p>
    <w:p>
      <w:r>
        <w:rPr>
          <w:rFonts w:ascii="Microsoft YaHei" w:hAnsi="Microsoft YaHei"/>
        </w:rPr>
        <w:t xml:space="preserve">中信建投作为沪深300与上证180成分股，今日早盘收报 </w:t>
      </w:r>
      <w:r>
        <w:rPr>
          <w:rFonts w:ascii="Microsoft YaHei" w:hAnsi="Microsoft YaHei"/>
          <w:b/>
          <w:color w:val="1A1A1A"/>
        </w:rPr>
        <w:t>26.66元</w:t>
      </w:r>
      <w:r>
        <w:rPr>
          <w:rFonts w:ascii="Microsoft YaHei" w:hAnsi="Microsoft YaHei"/>
        </w:rPr>
        <w:t xml:space="preserve">，涨幅 </w:t>
      </w:r>
      <w:r>
        <w:rPr>
          <w:rFonts w:ascii="Microsoft YaHei" w:hAnsi="Microsoft YaHei"/>
          <w:b/>
          <w:color w:val="1A1A1A"/>
        </w:rPr>
        <w:t>+0.60%</w:t>
      </w:r>
      <w:r>
        <w:rPr>
          <w:rFonts w:ascii="Microsoft YaHei" w:hAnsi="Microsoft YaHei"/>
        </w:rPr>
        <w:t>，表现温和，但明显跑输同期金融板块整体涨幅（+1.61%）以及券商同业。</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二、个股分析</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sz w:val="18"/>
              </w:rPr>
              <w:t>当前价</w:t>
            </w:r>
          </w:p>
        </w:tc>
        <w:tc>
          <w:tcPr>
            <w:tcW w:type="dxa" w:w="4533"/>
          </w:tcPr>
          <w:p>
            <w:pPr>
              <w:spacing w:before="40" w:after="40" w:line="288" w:lineRule="auto"/>
            </w:pPr>
            <w:r/>
            <w:r>
              <w:rPr>
                <w:rFonts w:ascii="Microsoft YaHei" w:hAnsi="Microsoft YaHei"/>
                <w:b/>
                <w:color w:val="1A1A1A"/>
                <w:sz w:val="18"/>
              </w:rPr>
              <w:t>26.66元</w:t>
            </w:r>
          </w:p>
        </w:tc>
      </w:tr>
      <w:tr>
        <w:tc>
          <w:tcPr>
            <w:tcW w:type="dxa" w:w="4533"/>
            <w:shd w:fill="F8F9FA" w:val="clear"/>
          </w:tcPr>
          <w:p>
            <w:pPr>
              <w:spacing w:before="40" w:after="40" w:line="288" w:lineRule="auto"/>
            </w:pPr>
            <w:r/>
            <w:r>
              <w:rPr>
                <w:rFonts w:ascii="Microsoft YaHei" w:hAnsi="Microsoft YaHei"/>
                <w:sz w:val="18"/>
              </w:rPr>
              <w:t>开盘价 / 最高 / 最低</w:t>
            </w:r>
          </w:p>
        </w:tc>
        <w:tc>
          <w:tcPr>
            <w:tcW w:type="dxa" w:w="4533"/>
            <w:shd w:fill="F8F9FA" w:val="clear"/>
          </w:tcPr>
          <w:p>
            <w:pPr>
              <w:spacing w:before="40" w:after="40" w:line="288" w:lineRule="auto"/>
            </w:pPr>
            <w:r/>
            <w:r>
              <w:rPr>
                <w:rFonts w:ascii="Microsoft YaHei" w:hAnsi="Microsoft YaHei"/>
                <w:sz w:val="18"/>
              </w:rPr>
              <w:t>26.68 / 27.12 / 26.20</w:t>
            </w:r>
          </w:p>
        </w:tc>
      </w:tr>
      <w:tr>
        <w:tc>
          <w:tcPr>
            <w:tcW w:type="dxa" w:w="4533"/>
          </w:tcPr>
          <w:p>
            <w:pPr>
              <w:spacing w:before="40" w:after="40" w:line="288" w:lineRule="auto"/>
            </w:pPr>
            <w:r/>
            <w:r>
              <w:rPr>
                <w:rFonts w:ascii="Microsoft YaHei" w:hAnsi="Microsoft YaHei"/>
                <w:sz w:val="18"/>
              </w:rPr>
              <w:t>涨跌幅</w:t>
            </w:r>
          </w:p>
        </w:tc>
        <w:tc>
          <w:tcPr>
            <w:tcW w:type="dxa" w:w="4533"/>
          </w:tcPr>
          <w:p>
            <w:pPr>
              <w:spacing w:before="40" w:after="40" w:line="288" w:lineRule="auto"/>
            </w:pPr>
            <w:r/>
            <w:r>
              <w:rPr>
                <w:rFonts w:ascii="Microsoft YaHei" w:hAnsi="Microsoft YaHei"/>
                <w:b/>
                <w:color w:val="1A1A1A"/>
                <w:sz w:val="18"/>
              </w:rPr>
              <w:t>+0.60%</w:t>
            </w:r>
          </w:p>
        </w:tc>
      </w:tr>
      <w:tr>
        <w:tc>
          <w:tcPr>
            <w:tcW w:type="dxa" w:w="4533"/>
            <w:shd w:fill="F8F9FA" w:val="clear"/>
          </w:tcPr>
          <w:p>
            <w:pPr>
              <w:spacing w:before="40" w:after="40" w:line="288" w:lineRule="auto"/>
            </w:pPr>
            <w:r/>
            <w:r>
              <w:rPr>
                <w:rFonts w:ascii="Microsoft YaHei" w:hAnsi="Microsoft YaHei"/>
                <w:sz w:val="18"/>
              </w:rPr>
              <w:t>成交额</w:t>
            </w:r>
          </w:p>
        </w:tc>
        <w:tc>
          <w:tcPr>
            <w:tcW w:type="dxa" w:w="4533"/>
            <w:shd w:fill="F8F9FA" w:val="clear"/>
          </w:tcPr>
          <w:p>
            <w:pPr>
              <w:spacing w:before="40" w:after="40" w:line="288" w:lineRule="auto"/>
            </w:pPr>
            <w:r/>
            <w:r>
              <w:rPr>
                <w:rFonts w:ascii="Microsoft YaHei" w:hAnsi="Microsoft YaHei"/>
                <w:b/>
                <w:color w:val="1A1A1A"/>
                <w:sz w:val="18"/>
              </w:rPr>
              <w:t>8.96亿元</w:t>
            </w:r>
          </w:p>
        </w:tc>
      </w:tr>
      <w:tr>
        <w:tc>
          <w:tcPr>
            <w:tcW w:type="dxa" w:w="4533"/>
          </w:tcPr>
          <w:p>
            <w:pPr>
              <w:spacing w:before="40" w:after="40" w:line="288" w:lineRule="auto"/>
            </w:pPr>
            <w:r/>
            <w:r>
              <w:rPr>
                <w:rFonts w:ascii="Microsoft YaHei" w:hAnsi="Microsoft YaHei"/>
                <w:sz w:val="18"/>
              </w:rPr>
              <w:t>成交量</w:t>
            </w:r>
          </w:p>
        </w:tc>
        <w:tc>
          <w:tcPr>
            <w:tcW w:type="dxa" w:w="4533"/>
          </w:tcPr>
          <w:p>
            <w:pPr>
              <w:spacing w:before="40" w:after="40" w:line="288" w:lineRule="auto"/>
            </w:pPr>
            <w:r/>
            <w:r>
              <w:rPr>
                <w:rFonts w:ascii="Microsoft YaHei" w:hAnsi="Microsoft YaHei"/>
                <w:sz w:val="18"/>
              </w:rPr>
              <w:t>33.59万手</w:t>
            </w:r>
          </w:p>
        </w:tc>
      </w:tr>
      <w:tr>
        <w:tc>
          <w:tcPr>
            <w:tcW w:type="dxa" w:w="4533"/>
            <w:shd w:fill="F8F9FA" w:val="clear"/>
          </w:tcPr>
          <w:p>
            <w:pPr>
              <w:spacing w:before="40" w:after="40" w:line="288" w:lineRule="auto"/>
            </w:pPr>
            <w:r/>
            <w:r>
              <w:rPr>
                <w:rFonts w:ascii="Microsoft YaHei" w:hAnsi="Microsoft YaHei"/>
                <w:sz w:val="18"/>
              </w:rPr>
              <w:t>换手率</w:t>
            </w:r>
          </w:p>
        </w:tc>
        <w:tc>
          <w:tcPr>
            <w:tcW w:type="dxa" w:w="4533"/>
            <w:shd w:fill="F8F9FA" w:val="clear"/>
          </w:tcPr>
          <w:p>
            <w:pPr>
              <w:spacing w:before="40" w:after="40" w:line="288" w:lineRule="auto"/>
            </w:pPr>
            <w:r/>
            <w:r>
              <w:rPr>
                <w:rFonts w:ascii="Microsoft YaHei" w:hAnsi="Microsoft YaHei"/>
                <w:b/>
                <w:color w:val="1A1A1A"/>
                <w:sz w:val="18"/>
              </w:rPr>
              <w:t>0.52%</w:t>
            </w:r>
            <w:r>
              <w:rPr>
                <w:rFonts w:ascii="Microsoft YaHei" w:hAnsi="Microsoft YaHei"/>
                <w:sz w:val="18"/>
              </w:rPr>
              <w:t>（前日0.44%，放量约</w:t>
            </w:r>
            <w:r>
              <w:rPr>
                <w:rFonts w:ascii="Microsoft YaHei" w:hAnsi="Microsoft YaHei"/>
                <w:b/>
                <w:color w:val="1A1A1A"/>
                <w:sz w:val="18"/>
              </w:rPr>
              <w:t>1.19倍</w:t>
            </w:r>
            <w:r>
              <w:rPr>
                <w:rFonts w:ascii="Microsoft YaHei" w:hAnsi="Microsoft YaHei"/>
                <w:sz w:val="18"/>
              </w:rPr>
              <w:t>）</w:t>
            </w:r>
          </w:p>
        </w:tc>
      </w:tr>
      <w:tr>
        <w:tc>
          <w:tcPr>
            <w:tcW w:type="dxa" w:w="4533"/>
          </w:tcPr>
          <w:p>
            <w:pPr>
              <w:spacing w:before="40" w:after="40" w:line="288" w:lineRule="auto"/>
            </w:pPr>
            <w:r/>
            <w:r>
              <w:rPr>
                <w:rFonts w:ascii="Microsoft YaHei" w:hAnsi="Microsoft YaHei"/>
                <w:sz w:val="18"/>
              </w:rPr>
              <w:t>振幅</w:t>
            </w:r>
          </w:p>
        </w:tc>
        <w:tc>
          <w:tcPr>
            <w:tcW w:type="dxa" w:w="4533"/>
          </w:tcPr>
          <w:p>
            <w:pPr>
              <w:spacing w:before="40" w:after="40" w:line="288" w:lineRule="auto"/>
            </w:pPr>
            <w:r/>
            <w:r>
              <w:rPr>
                <w:rFonts w:ascii="Microsoft YaHei" w:hAnsi="Microsoft YaHei"/>
                <w:b/>
                <w:color w:val="1A1A1A"/>
                <w:sz w:val="18"/>
              </w:rPr>
              <w:t>3.47%</w:t>
            </w:r>
          </w:p>
        </w:tc>
      </w:tr>
      <w:tr>
        <w:tc>
          <w:tcPr>
            <w:tcW w:type="dxa" w:w="4533"/>
            <w:shd w:fill="F8F9FA" w:val="clear"/>
          </w:tcPr>
          <w:p>
            <w:pPr>
              <w:spacing w:before="40" w:after="40" w:line="288" w:lineRule="auto"/>
            </w:pPr>
            <w:r/>
            <w:r>
              <w:rPr>
                <w:rFonts w:ascii="Microsoft YaHei" w:hAnsi="Microsoft YaHei"/>
                <w:sz w:val="18"/>
              </w:rPr>
              <w:t>量比</w:t>
            </w:r>
          </w:p>
        </w:tc>
        <w:tc>
          <w:tcPr>
            <w:tcW w:type="dxa" w:w="4533"/>
            <w:shd w:fill="F8F9FA" w:val="clear"/>
          </w:tcPr>
          <w:p>
            <w:pPr>
              <w:spacing w:before="40" w:after="40" w:line="288" w:lineRule="auto"/>
            </w:pPr>
            <w:r/>
            <w:r>
              <w:rPr>
                <w:rFonts w:ascii="Microsoft YaHei" w:hAnsi="Microsoft YaHei"/>
                <w:sz w:val="18"/>
              </w:rPr>
              <w:t>0.87（略低于1，盘中交投相对平稳）</w:t>
            </w:r>
          </w:p>
        </w:tc>
      </w:tr>
      <w:tr>
        <w:tc>
          <w:tcPr>
            <w:tcW w:type="dxa" w:w="4533"/>
          </w:tcPr>
          <w:p>
            <w:pPr>
              <w:spacing w:before="40" w:after="40" w:line="288" w:lineRule="auto"/>
            </w:pPr>
            <w:r/>
            <w:r>
              <w:rPr>
                <w:rFonts w:ascii="Microsoft YaHei" w:hAnsi="Microsoft YaHei"/>
                <w:sz w:val="18"/>
              </w:rPr>
              <w:t>动态市盈率</w:t>
            </w:r>
          </w:p>
        </w:tc>
        <w:tc>
          <w:tcPr>
            <w:tcW w:type="dxa" w:w="4533"/>
          </w:tcPr>
          <w:p>
            <w:pPr>
              <w:spacing w:before="40" w:after="40" w:line="288" w:lineRule="auto"/>
            </w:pPr>
            <w:r/>
            <w:r>
              <w:rPr>
                <w:rFonts w:ascii="Microsoft YaHei" w:hAnsi="Microsoft YaHei"/>
                <w:b/>
                <w:color w:val="1A1A1A"/>
                <w:sz w:val="18"/>
              </w:rPr>
              <w:t>14.1倍</w:t>
            </w:r>
          </w:p>
        </w:tc>
      </w:tr>
      <w:tr>
        <w:tc>
          <w:tcPr>
            <w:tcW w:type="dxa" w:w="4533"/>
            <w:shd w:fill="F8F9FA" w:val="clear"/>
          </w:tcPr>
          <w:p>
            <w:pPr>
              <w:spacing w:before="40" w:after="40" w:line="288" w:lineRule="auto"/>
            </w:pPr>
            <w:r/>
            <w:r>
              <w:rPr>
                <w:rFonts w:ascii="Microsoft YaHei" w:hAnsi="Microsoft YaHei"/>
                <w:sz w:val="18"/>
              </w:rPr>
              <w:t>市净率</w:t>
            </w:r>
          </w:p>
        </w:tc>
        <w:tc>
          <w:tcPr>
            <w:tcW w:type="dxa" w:w="4533"/>
            <w:shd w:fill="F8F9FA" w:val="clear"/>
          </w:tcPr>
          <w:p>
            <w:pPr>
              <w:spacing w:before="40" w:after="40" w:line="288" w:lineRule="auto"/>
            </w:pPr>
            <w:r/>
            <w:r>
              <w:rPr>
                <w:rFonts w:ascii="Microsoft YaHei" w:hAnsi="Microsoft YaHei"/>
                <w:b/>
                <w:color w:val="1A1A1A"/>
                <w:sz w:val="18"/>
              </w:rPr>
              <w:t>2.4倍</w:t>
            </w:r>
          </w:p>
        </w:tc>
      </w:tr>
      <w:tr>
        <w:tc>
          <w:tcPr>
            <w:tcW w:type="dxa" w:w="4533"/>
          </w:tcPr>
          <w:p>
            <w:pPr>
              <w:spacing w:before="40" w:after="40" w:line="288" w:lineRule="auto"/>
            </w:pPr>
            <w:r/>
            <w:r>
              <w:rPr>
                <w:rFonts w:ascii="Microsoft YaHei" w:hAnsi="Microsoft YaHei"/>
                <w:sz w:val="18"/>
              </w:rPr>
              <w:t>总市值</w:t>
            </w:r>
          </w:p>
        </w:tc>
        <w:tc>
          <w:tcPr>
            <w:tcW w:type="dxa" w:w="4533"/>
          </w:tcPr>
          <w:p>
            <w:pPr>
              <w:spacing w:before="40" w:after="40" w:line="288" w:lineRule="auto"/>
            </w:pPr>
            <w:r/>
            <w:r>
              <w:rPr>
                <w:rFonts w:ascii="Microsoft YaHei" w:hAnsi="Microsoft YaHei"/>
                <w:b/>
                <w:color w:val="1A1A1A"/>
                <w:sz w:val="18"/>
              </w:rPr>
              <w:t>2,067.93亿元</w:t>
            </w:r>
          </w:p>
        </w:tc>
      </w:tr>
      <w:tr>
        <w:tc>
          <w:tcPr>
            <w:tcW w:type="dxa" w:w="4533"/>
            <w:shd w:fill="F8F9FA" w:val="clear"/>
          </w:tcPr>
          <w:p>
            <w:pPr>
              <w:spacing w:before="40" w:after="40" w:line="288" w:lineRule="auto"/>
            </w:pPr>
            <w:r/>
            <w:r>
              <w:rPr>
                <w:rFonts w:ascii="Microsoft YaHei" w:hAnsi="Microsoft YaHei"/>
                <w:sz w:val="18"/>
              </w:rPr>
              <w:t>流通市值</w:t>
            </w:r>
          </w:p>
        </w:tc>
        <w:tc>
          <w:tcPr>
            <w:tcW w:type="dxa" w:w="4533"/>
            <w:shd w:fill="F8F9FA" w:val="clear"/>
          </w:tcPr>
          <w:p>
            <w:pPr>
              <w:spacing w:before="40" w:after="40" w:line="288" w:lineRule="auto"/>
            </w:pPr>
            <w:r/>
            <w:r>
              <w:rPr>
                <w:rFonts w:ascii="Microsoft YaHei" w:hAnsi="Microsoft YaHei"/>
                <w:sz w:val="18"/>
              </w:rPr>
              <w:t>1,731.75亿元</w:t>
            </w:r>
          </w:p>
        </w:tc>
      </w:tr>
    </w:tbl>
    <w:p/>
    <w:p>
      <w:r>
        <w:rPr>
          <w:rFonts w:ascii="Microsoft YaHei" w:hAnsi="Microsoft YaHei"/>
          <w:b/>
          <w:color w:val="1A1A1A"/>
        </w:rPr>
        <w:t>关键解读：</w:t>
      </w:r>
    </w:p>
    <w:p>
      <w:pPr>
        <w:pStyle w:val="ListBullet"/>
      </w:pPr>
      <w:r>
        <w:rPr>
          <w:rFonts w:ascii="Microsoft YaHei" w:hAnsi="Microsoft YaHei"/>
        </w:rPr>
        <w:t xml:space="preserve">股价在 </w:t>
      </w:r>
      <w:r>
        <w:rPr>
          <w:rFonts w:ascii="Microsoft YaHei" w:hAnsi="Microsoft YaHei"/>
          <w:b/>
          <w:color w:val="1A1A1A"/>
        </w:rPr>
        <w:t>26.20~27.12元</w:t>
      </w:r>
      <w:r>
        <w:rPr>
          <w:rFonts w:ascii="Microsoft YaHei" w:hAnsi="Microsoft YaHei"/>
        </w:rPr>
        <w:t xml:space="preserve"> 区间震荡，振幅 </w:t>
      </w:r>
      <w:r>
        <w:rPr>
          <w:rFonts w:ascii="Microsoft YaHei" w:hAnsi="Microsoft YaHei"/>
          <w:b/>
          <w:color w:val="1A1A1A"/>
        </w:rPr>
        <w:t>3.47%</w:t>
      </w:r>
      <w:r>
        <w:rPr>
          <w:rFonts w:ascii="Microsoft YaHei" w:hAnsi="Microsoft YaHei"/>
        </w:rPr>
        <w:t>，呈现早盘冲高回落后企稳的走势；</w:t>
      </w:r>
    </w:p>
    <w:p>
      <w:pPr>
        <w:pStyle w:val="ListBullet"/>
      </w:pPr>
      <w:r>
        <w:rPr>
          <w:rFonts w:ascii="Microsoft YaHei" w:hAnsi="Microsoft YaHei"/>
        </w:rPr>
        <w:t xml:space="preserve">换手率 </w:t>
      </w:r>
      <w:r>
        <w:rPr>
          <w:rFonts w:ascii="Microsoft YaHei" w:hAnsi="Microsoft YaHei"/>
          <w:b/>
          <w:color w:val="1A1A1A"/>
        </w:rPr>
        <w:t>0.52%</w:t>
      </w:r>
      <w:r>
        <w:rPr>
          <w:rFonts w:ascii="Microsoft YaHei" w:hAnsi="Microsoft YaHei"/>
        </w:rPr>
        <w:t xml:space="preserve"> 较前日 </w:t>
      </w:r>
      <w:r>
        <w:rPr>
          <w:rFonts w:ascii="Microsoft YaHei" w:hAnsi="Microsoft YaHei"/>
          <w:b/>
          <w:color w:val="1A1A1A"/>
        </w:rPr>
        <w:t>0.44%</w:t>
      </w:r>
      <w:r>
        <w:rPr>
          <w:rFonts w:ascii="Microsoft YaHei" w:hAnsi="Microsoft YaHei"/>
        </w:rPr>
        <w:t xml:space="preserve"> 放大约 </w:t>
      </w:r>
      <w:r>
        <w:rPr>
          <w:rFonts w:ascii="Microsoft YaHei" w:hAnsi="Microsoft YaHei"/>
          <w:b/>
          <w:color w:val="1A1A1A"/>
        </w:rPr>
        <w:t>19%</w:t>
      </w:r>
      <w:r>
        <w:rPr>
          <w:rFonts w:ascii="Microsoft YaHei" w:hAnsi="Microsoft YaHei"/>
        </w:rPr>
        <w:t>，属温和放量，量价配合尚可；</w:t>
      </w:r>
    </w:p>
    <w:p>
      <w:pPr>
        <w:pStyle w:val="ListBullet"/>
      </w:pPr>
      <w:r>
        <w:rPr>
          <w:rFonts w:ascii="Microsoft YaHei" w:hAnsi="Microsoft YaHei"/>
        </w:rPr>
        <w:t xml:space="preserve">动态PE </w:t>
      </w:r>
      <w:r>
        <w:rPr>
          <w:rFonts w:ascii="Microsoft YaHei" w:hAnsi="Microsoft YaHei"/>
          <w:b/>
          <w:color w:val="1A1A1A"/>
        </w:rPr>
        <w:t>14.1倍</w:t>
      </w:r>
      <w:r>
        <w:rPr>
          <w:rFonts w:ascii="Microsoft YaHei" w:hAnsi="Microsoft YaHei"/>
        </w:rPr>
        <w:t>，在头部券商中处于合理偏低分位，具备一定安全边际。</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三、资金面</w:t>
      </w:r>
    </w:p>
    <w:p>
      <w:pPr>
        <w:spacing w:before="280" w:after="80" w:line="312" w:lineRule="auto"/>
      </w:pPr>
      <w:r>
        <w:rPr>
          <w:rFonts w:ascii="Microsoft YaHei" w:hAnsi="Microsoft YaHei"/>
          <w:b/>
          <w:color w:val="333333"/>
          <w:sz w:val="24"/>
        </w:rPr>
        <w:t>3.1 资金流向</w:t>
      </w:r>
    </w:p>
    <w:p>
      <w:r>
        <w:rPr>
          <w:rFonts w:ascii="Microsoft YaHei" w:hAnsi="Microsoft YaHei"/>
        </w:rPr>
        <w:t>截至午间收盘，逐分钟统计显示个股</w:t>
      </w:r>
      <w:r>
        <w:rPr>
          <w:rFonts w:ascii="Microsoft YaHei" w:hAnsi="Microsoft YaHei"/>
          <w:b/>
          <w:color w:val="1A1A1A"/>
        </w:rPr>
        <w:t>净流入 3,281.16万元</w:t>
      </w:r>
      <w:r>
        <w:rPr>
          <w:rFonts w:ascii="Microsoft YaHei" w:hAnsi="Microsoft YaHei"/>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维度</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净流入 3,281万元</w:t>
            </w:r>
          </w:p>
        </w:tc>
      </w:tr>
      <w:tr>
        <w:tc>
          <w:tcPr>
            <w:tcW w:type="dxa" w:w="4533"/>
            <w:shd w:fill="F8F9FA" w:val="clear"/>
          </w:tcPr>
          <w:p>
            <w:pPr>
              <w:spacing w:before="40" w:after="40" w:line="288" w:lineRule="auto"/>
            </w:pPr>
            <w:r/>
            <w:r>
              <w:rPr>
                <w:rFonts w:ascii="Microsoft YaHei" w:hAnsi="Microsoft YaHei"/>
                <w:sz w:val="18"/>
              </w:rPr>
              <w:t>资金流入时长</w:t>
            </w:r>
          </w:p>
        </w:tc>
        <w:tc>
          <w:tcPr>
            <w:tcW w:type="dxa" w:w="4533"/>
            <w:shd w:fill="F8F9FA" w:val="clear"/>
          </w:tcPr>
          <w:p>
            <w:pPr>
              <w:spacing w:before="40" w:after="40" w:line="288" w:lineRule="auto"/>
            </w:pPr>
            <w:r/>
            <w:r>
              <w:rPr>
                <w:rFonts w:ascii="Microsoft YaHei" w:hAnsi="Microsoft YaHei"/>
                <w:sz w:val="18"/>
              </w:rPr>
              <w:t>66分钟 / 流出54分钟（净流入时长占优）</w:t>
            </w:r>
          </w:p>
        </w:tc>
      </w:tr>
      <w:tr>
        <w:tc>
          <w:tcPr>
            <w:tcW w:type="dxa" w:w="4533"/>
          </w:tcPr>
          <w:p>
            <w:pPr>
              <w:spacing w:before="40" w:after="40" w:line="288" w:lineRule="auto"/>
            </w:pPr>
            <w:r/>
            <w:r>
              <w:rPr>
                <w:rFonts w:ascii="Microsoft YaHei" w:hAnsi="Microsoft YaHei"/>
                <w:sz w:val="18"/>
              </w:rPr>
              <w:t>最大单分钟流入</w:t>
            </w:r>
          </w:p>
        </w:tc>
        <w:tc>
          <w:tcPr>
            <w:tcW w:type="dxa" w:w="4533"/>
          </w:tcPr>
          <w:p>
            <w:pPr>
              <w:spacing w:before="40" w:after="40" w:line="288" w:lineRule="auto"/>
            </w:pPr>
            <w:r/>
            <w:r>
              <w:rPr>
                <w:rFonts w:ascii="Microsoft YaHei" w:hAnsi="Microsoft YaHei"/>
                <w:b/>
                <w:color w:val="1A1A1A"/>
                <w:sz w:val="18"/>
              </w:rPr>
              <w:t>902.3万元</w:t>
            </w:r>
          </w:p>
        </w:tc>
      </w:tr>
      <w:tr>
        <w:tc>
          <w:tcPr>
            <w:tcW w:type="dxa" w:w="4533"/>
            <w:shd w:fill="F8F9FA" w:val="clear"/>
          </w:tcPr>
          <w:p>
            <w:pPr>
              <w:spacing w:before="40" w:after="40" w:line="288" w:lineRule="auto"/>
            </w:pPr>
            <w:r/>
            <w:r>
              <w:rPr>
                <w:rFonts w:ascii="Microsoft YaHei" w:hAnsi="Microsoft YaHei"/>
                <w:sz w:val="18"/>
              </w:rPr>
              <w:t>最大单分钟流出</w:t>
            </w:r>
          </w:p>
        </w:tc>
        <w:tc>
          <w:tcPr>
            <w:tcW w:type="dxa" w:w="4533"/>
            <w:shd w:fill="F8F9FA" w:val="clear"/>
          </w:tcPr>
          <w:p>
            <w:pPr>
              <w:spacing w:before="40" w:after="40" w:line="288" w:lineRule="auto"/>
            </w:pPr>
            <w:r/>
            <w:r>
              <w:rPr>
                <w:rFonts w:ascii="Microsoft YaHei" w:hAnsi="Microsoft YaHei"/>
                <w:sz w:val="18"/>
              </w:rPr>
              <w:t>414.1万元</w:t>
            </w:r>
          </w:p>
        </w:tc>
      </w:tr>
    </w:tbl>
    <w:p/>
    <w:p>
      <w:pPr>
        <w:spacing w:before="280" w:after="80" w:line="312" w:lineRule="auto"/>
      </w:pPr>
      <w:r>
        <w:rPr>
          <w:rFonts w:ascii="Microsoft YaHei" w:hAnsi="Microsoft YaHei"/>
          <w:b/>
          <w:color w:val="333333"/>
          <w:sz w:val="24"/>
        </w:rPr>
        <w:t>3.2 资金结构（上一个交易日日终）</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类型</w:t>
            </w:r>
          </w:p>
        </w:tc>
        <w:tc>
          <w:tcPr>
            <w:tcW w:type="dxa" w:w="3022"/>
            <w:shd w:fill="F6F8FA" w:val="clear"/>
          </w:tcPr>
          <w:p>
            <w:pPr>
              <w:spacing w:before="40" w:after="40" w:line="288" w:lineRule="auto"/>
            </w:pPr>
            <w:r/>
            <w:r>
              <w:rPr>
                <w:rFonts w:ascii="Microsoft YaHei" w:hAnsi="Microsoft YaHei"/>
                <w:b/>
                <w:color w:val="1A1A1A"/>
                <w:sz w:val="18"/>
              </w:rPr>
              <w:t>净额（元）</w:t>
            </w:r>
          </w:p>
        </w:tc>
        <w:tc>
          <w:tcPr>
            <w:tcW w:type="dxa" w:w="3022"/>
            <w:shd w:fill="F6F8FA" w:val="clear"/>
          </w:tcPr>
          <w:p>
            <w:pPr>
              <w:spacing w:before="40" w:after="40" w:line="288" w:lineRule="auto"/>
            </w:pPr>
            <w:r/>
            <w:r>
              <w:rPr>
                <w:rFonts w:ascii="Microsoft YaHei" w:hAnsi="Microsoft YaHei"/>
                <w:b/>
                <w:color w:val="1A1A1A"/>
                <w:sz w:val="18"/>
              </w:rPr>
              <w:t>说明</w:t>
            </w:r>
          </w:p>
        </w:tc>
      </w:tr>
      <w:tr>
        <w:tc>
          <w:tcPr>
            <w:tcW w:type="dxa" w:w="3022"/>
          </w:tcPr>
          <w:p>
            <w:pPr>
              <w:spacing w:before="40" w:after="40" w:line="288" w:lineRule="auto"/>
            </w:pPr>
            <w:r/>
            <w:r>
              <w:rPr>
                <w:rFonts w:ascii="Microsoft YaHei" w:hAnsi="Microsoft YaHei"/>
                <w:sz w:val="18"/>
              </w:rPr>
              <w:t>大单</w:t>
            </w:r>
          </w:p>
        </w:tc>
        <w:tc>
          <w:tcPr>
            <w:tcW w:type="dxa" w:w="3022"/>
          </w:tcPr>
          <w:p>
            <w:pPr>
              <w:spacing w:before="40" w:after="40" w:line="288" w:lineRule="auto"/>
            </w:pPr>
            <w:r/>
            <w:r>
              <w:rPr>
                <w:rFonts w:ascii="Microsoft YaHei" w:hAnsi="Microsoft YaHei"/>
                <w:sz w:val="18"/>
              </w:rPr>
              <w:t>0</w:t>
            </w:r>
          </w:p>
        </w:tc>
        <w:tc>
          <w:tcPr>
            <w:tcW w:type="dxa" w:w="3022"/>
          </w:tcPr>
          <w:p>
            <w:pPr>
              <w:spacing w:before="40" w:after="40" w:line="288" w:lineRule="auto"/>
            </w:pPr>
            <w:r/>
            <w:r>
              <w:rPr>
                <w:rFonts w:ascii="Microsoft YaHei" w:hAnsi="Microsoft YaHei"/>
                <w:sz w:val="18"/>
              </w:rPr>
              <w:t>上一交易日大单零成交，无异常</w:t>
            </w:r>
          </w:p>
        </w:tc>
      </w:tr>
      <w:tr>
        <w:tc>
          <w:tcPr>
            <w:tcW w:type="dxa" w:w="3022"/>
            <w:shd w:fill="F8F9FA" w:val="clear"/>
          </w:tcPr>
          <w:p>
            <w:pPr>
              <w:spacing w:before="40" w:after="40" w:line="288" w:lineRule="auto"/>
            </w:pPr>
            <w:r/>
            <w:r>
              <w:rPr>
                <w:rFonts w:ascii="Microsoft YaHei" w:hAnsi="Microsoft YaHei"/>
                <w:sz w:val="18"/>
              </w:rPr>
              <w:t>中单</w:t>
            </w:r>
          </w:p>
        </w:tc>
        <w:tc>
          <w:tcPr>
            <w:tcW w:type="dxa" w:w="3022"/>
            <w:shd w:fill="F8F9FA" w:val="clear"/>
          </w:tcPr>
          <w:p>
            <w:pPr>
              <w:spacing w:before="40" w:after="40" w:line="288" w:lineRule="auto"/>
            </w:pPr>
            <w:r/>
            <w:r>
              <w:rPr>
                <w:rFonts w:ascii="Microsoft YaHei" w:hAnsi="Microsoft YaHei"/>
                <w:b/>
                <w:color w:val="1A1A1A"/>
                <w:sz w:val="18"/>
              </w:rPr>
              <w:t>+2,877.97万</w:t>
            </w:r>
          </w:p>
        </w:tc>
        <w:tc>
          <w:tcPr>
            <w:tcW w:type="dxa" w:w="3022"/>
            <w:shd w:fill="F8F9FA" w:val="clear"/>
          </w:tcPr>
          <w:p>
            <w:pPr>
              <w:spacing w:before="40" w:after="40" w:line="288" w:lineRule="auto"/>
            </w:pPr>
            <w:r/>
            <w:r>
              <w:rPr>
                <w:rFonts w:ascii="Microsoft YaHei" w:hAnsi="Microsoft YaHei"/>
                <w:sz w:val="18"/>
              </w:rPr>
              <w:t>中单资金持续净买入</w:t>
            </w:r>
          </w:p>
        </w:tc>
      </w:tr>
      <w:tr>
        <w:tc>
          <w:tcPr>
            <w:tcW w:type="dxa" w:w="3022"/>
          </w:tcPr>
          <w:p>
            <w:pPr>
              <w:spacing w:before="40" w:after="40" w:line="288" w:lineRule="auto"/>
            </w:pPr>
            <w:r/>
            <w:r>
              <w:rPr>
                <w:rFonts w:ascii="Microsoft YaHei" w:hAnsi="Microsoft YaHei"/>
                <w:sz w:val="18"/>
              </w:rPr>
              <w:t>小单</w:t>
            </w:r>
          </w:p>
        </w:tc>
        <w:tc>
          <w:tcPr>
            <w:tcW w:type="dxa" w:w="3022"/>
          </w:tcPr>
          <w:p>
            <w:pPr>
              <w:spacing w:before="40" w:after="40" w:line="288" w:lineRule="auto"/>
            </w:pPr>
            <w:r/>
            <w:r>
              <w:rPr>
                <w:rFonts w:ascii="Microsoft YaHei" w:hAnsi="Microsoft YaHei"/>
                <w:sz w:val="18"/>
              </w:rPr>
              <w:t>+403.19万</w:t>
            </w:r>
          </w:p>
        </w:tc>
        <w:tc>
          <w:tcPr>
            <w:tcW w:type="dxa" w:w="3022"/>
          </w:tcPr>
          <w:p>
            <w:pPr>
              <w:spacing w:before="40" w:after="40" w:line="288" w:lineRule="auto"/>
            </w:pPr>
            <w:r/>
            <w:r>
              <w:rPr>
                <w:rFonts w:ascii="Microsoft YaHei" w:hAnsi="Microsoft YaHei"/>
                <w:sz w:val="18"/>
              </w:rPr>
              <w:t>散户资金小幅净流入</w:t>
            </w:r>
          </w:p>
        </w:tc>
      </w:tr>
    </w:tbl>
    <w:p/>
    <w:p>
      <w:r>
        <w:rPr>
          <w:rFonts w:ascii="Microsoft YaHei" w:hAnsi="Microsoft YaHei"/>
          <w:b/>
          <w:color w:val="1A1A1A"/>
        </w:rPr>
        <w:t>资金面小结：</w:t>
      </w:r>
      <w:r>
        <w:rPr>
          <w:rFonts w:ascii="Microsoft YaHei" w:hAnsi="Microsoft YaHei"/>
        </w:rPr>
        <w:t xml:space="preserve"> 早盘资金延续温和净流入态势，中单资金是近期主要买入力量，大单层面未出现明显异动，整体呈现"机构偏稳、中户主导"的特征。</w:t>
      </w:r>
    </w:p>
    <w:p>
      <w:pPr>
        <w:spacing w:before="280" w:after="80" w:line="312" w:lineRule="auto"/>
      </w:pPr>
      <w:r>
        <w:rPr>
          <w:rFonts w:ascii="Microsoft YaHei" w:hAnsi="Microsoft YaHei"/>
          <w:b/>
          <w:color w:val="333333"/>
          <w:sz w:val="24"/>
        </w:rPr>
        <w:t>3.3 融资融券（上一交易日）</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变动</w:t>
            </w:r>
          </w:p>
        </w:tc>
      </w:tr>
      <w:tr>
        <w:tc>
          <w:tcPr>
            <w:tcW w:type="dxa" w:w="3022"/>
          </w:tcPr>
          <w:p>
            <w:pPr>
              <w:spacing w:before="40" w:after="40" w:line="288" w:lineRule="auto"/>
            </w:pPr>
            <w:r/>
            <w:r>
              <w:rPr>
                <w:rFonts w:ascii="Microsoft YaHei" w:hAnsi="Microsoft YaHei"/>
                <w:sz w:val="18"/>
              </w:rPr>
              <w:t>融资余额</w:t>
            </w:r>
          </w:p>
        </w:tc>
        <w:tc>
          <w:tcPr>
            <w:tcW w:type="dxa" w:w="3022"/>
          </w:tcPr>
          <w:p>
            <w:pPr>
              <w:spacing w:before="40" w:after="40" w:line="288" w:lineRule="auto"/>
            </w:pPr>
            <w:r/>
            <w:r>
              <w:rPr>
                <w:rFonts w:ascii="Microsoft YaHei" w:hAnsi="Microsoft YaHei"/>
                <w:b/>
                <w:color w:val="1A1A1A"/>
                <w:sz w:val="18"/>
              </w:rPr>
              <w:t>22.36亿元</w:t>
            </w:r>
          </w:p>
        </w:tc>
        <w:tc>
          <w:tcPr>
            <w:tcW w:type="dxa" w:w="3022"/>
          </w:tcPr>
          <w:p>
            <w:pPr>
              <w:spacing w:before="40" w:after="40" w:line="288" w:lineRule="auto"/>
            </w:pPr>
            <w:r/>
            <w:r>
              <w:rPr>
                <w:rFonts w:ascii="Microsoft YaHei" w:hAnsi="Microsoft YaHei"/>
                <w:sz w:val="18"/>
              </w:rPr>
              <w:t xml:space="preserve">较前日 </w:t>
            </w:r>
            <w:r>
              <w:rPr>
                <w:rFonts w:ascii="Microsoft YaHei" w:hAnsi="Microsoft YaHei"/>
                <w:b/>
                <w:color w:val="1A1A1A"/>
                <w:sz w:val="18"/>
              </w:rPr>
              <w:t>+0.06%</w:t>
            </w:r>
            <w:r>
              <w:rPr>
                <w:rFonts w:ascii="Microsoft YaHei" w:hAnsi="Microsoft YaHei"/>
                <w:sz w:val="18"/>
              </w:rPr>
              <w:t>（微增）</w:t>
            </w:r>
          </w:p>
        </w:tc>
      </w:tr>
      <w:tr>
        <w:tc>
          <w:tcPr>
            <w:tcW w:type="dxa" w:w="3022"/>
            <w:shd w:fill="F8F9FA" w:val="clear"/>
          </w:tcPr>
          <w:p>
            <w:pPr>
              <w:spacing w:before="40" w:after="40" w:line="288" w:lineRule="auto"/>
            </w:pPr>
            <w:r/>
            <w:r>
              <w:rPr>
                <w:rFonts w:ascii="Microsoft YaHei" w:hAnsi="Microsoft YaHei"/>
                <w:sz w:val="18"/>
              </w:rPr>
              <w:t>融券余额</w:t>
            </w:r>
          </w:p>
        </w:tc>
        <w:tc>
          <w:tcPr>
            <w:tcW w:type="dxa" w:w="3022"/>
            <w:shd w:fill="F8F9FA" w:val="clear"/>
          </w:tcPr>
          <w:p>
            <w:pPr>
              <w:spacing w:before="40" w:after="40" w:line="288" w:lineRule="auto"/>
            </w:pPr>
            <w:r/>
            <w:r>
              <w:rPr>
                <w:rFonts w:ascii="Microsoft YaHei" w:hAnsi="Microsoft YaHei"/>
                <w:sz w:val="18"/>
              </w:rPr>
              <w:t>0.02亿元</w:t>
            </w:r>
          </w:p>
        </w:tc>
        <w:tc>
          <w:tcPr>
            <w:tcW w:type="dxa" w:w="3022"/>
            <w:shd w:fill="F8F9FA" w:val="clear"/>
          </w:tcPr>
          <w:p>
            <w:pPr>
              <w:spacing w:before="40" w:after="40" w:line="288" w:lineRule="auto"/>
            </w:pPr>
            <w:r/>
            <w:r>
              <w:rPr>
                <w:rFonts w:ascii="Microsoft YaHei" w:hAnsi="Microsoft YaHei"/>
                <w:sz w:val="18"/>
              </w:rPr>
              <w:t xml:space="preserve">较前日 </w:t>
            </w:r>
            <w:r>
              <w:rPr>
                <w:rFonts w:ascii="Microsoft YaHei" w:hAnsi="Microsoft YaHei"/>
                <w:b/>
                <w:color w:val="1A1A1A"/>
                <w:sz w:val="18"/>
              </w:rPr>
              <w:t>-22.77%</w:t>
            </w:r>
            <w:r>
              <w:rPr>
                <w:rFonts w:ascii="Microsoft YaHei" w:hAnsi="Microsoft YaHei"/>
                <w:sz w:val="18"/>
              </w:rPr>
              <w:t>（显著萎缩）</w:t>
            </w:r>
          </w:p>
        </w:tc>
      </w:tr>
    </w:tbl>
    <w:p/>
    <w:p>
      <w:r>
        <w:rPr>
          <w:rFonts w:ascii="Microsoft YaHei" w:hAnsi="Microsoft YaHei"/>
        </w:rPr>
        <w:t>融券余额大幅缩减，空头力量减弱，对股价形成一定情绪支撑。</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四、技术面</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技术位</w:t>
            </w:r>
          </w:p>
        </w:tc>
        <w:tc>
          <w:tcPr>
            <w:tcW w:type="dxa" w:w="3022"/>
            <w:shd w:fill="F6F8FA" w:val="clear"/>
          </w:tcPr>
          <w:p>
            <w:pPr>
              <w:spacing w:before="40" w:after="40" w:line="288" w:lineRule="auto"/>
            </w:pPr>
            <w:r/>
            <w:r>
              <w:rPr>
                <w:rFonts w:ascii="Microsoft YaHei" w:hAnsi="Microsoft YaHei"/>
                <w:b/>
                <w:color w:val="1A1A1A"/>
                <w:sz w:val="18"/>
              </w:rPr>
              <w:t>价格</w:t>
            </w:r>
          </w:p>
        </w:tc>
        <w:tc>
          <w:tcPr>
            <w:tcW w:type="dxa" w:w="3022"/>
            <w:shd w:fill="F6F8FA" w:val="clear"/>
          </w:tcPr>
          <w:p>
            <w:pPr>
              <w:spacing w:before="40" w:after="40" w:line="288" w:lineRule="auto"/>
            </w:pPr>
            <w:r/>
            <w:r>
              <w:rPr>
                <w:rFonts w:ascii="Microsoft YaHei" w:hAnsi="Microsoft YaHei"/>
                <w:b/>
                <w:color w:val="1A1A1A"/>
                <w:sz w:val="18"/>
              </w:rPr>
              <w:t>当前价偏离度</w:t>
            </w:r>
          </w:p>
        </w:tc>
      </w:tr>
      <w:tr>
        <w:tc>
          <w:tcPr>
            <w:tcW w:type="dxa" w:w="3022"/>
          </w:tcPr>
          <w:p>
            <w:pPr>
              <w:spacing w:before="40" w:after="40" w:line="288" w:lineRule="auto"/>
            </w:pPr>
            <w:r/>
            <w:r>
              <w:rPr>
                <w:rFonts w:ascii="Microsoft YaHei" w:hAnsi="Microsoft YaHei"/>
                <w:sz w:val="18"/>
              </w:rPr>
              <w:t>MA5</w:t>
            </w:r>
          </w:p>
        </w:tc>
        <w:tc>
          <w:tcPr>
            <w:tcW w:type="dxa" w:w="3022"/>
          </w:tcPr>
          <w:p>
            <w:pPr>
              <w:spacing w:before="40" w:after="40" w:line="288" w:lineRule="auto"/>
            </w:pPr>
            <w:r/>
            <w:r>
              <w:rPr>
                <w:rFonts w:ascii="Microsoft YaHei" w:hAnsi="Microsoft YaHei"/>
                <w:sz w:val="18"/>
              </w:rPr>
              <w:t>~26.51元</w:t>
            </w:r>
          </w:p>
        </w:tc>
        <w:tc>
          <w:tcPr>
            <w:tcW w:type="dxa" w:w="3022"/>
          </w:tcPr>
          <w:p>
            <w:pPr>
              <w:spacing w:before="40" w:after="40" w:line="288" w:lineRule="auto"/>
            </w:pPr>
            <w:r/>
            <w:r>
              <w:rPr>
                <w:rFonts w:ascii="Microsoft YaHei" w:hAnsi="Microsoft YaHei"/>
                <w:b/>
                <w:color w:val="1A1A1A"/>
                <w:sz w:val="18"/>
              </w:rPr>
              <w:t>+0.6%</w:t>
            </w:r>
            <w:r>
              <w:rPr>
                <w:rFonts w:ascii="Microsoft YaHei" w:hAnsi="Microsoft YaHei"/>
                <w:sz w:val="18"/>
              </w:rPr>
              <w:t>（紧贴MA5上方）</w:t>
            </w:r>
          </w:p>
        </w:tc>
      </w:tr>
      <w:tr>
        <w:tc>
          <w:tcPr>
            <w:tcW w:type="dxa" w:w="3022"/>
            <w:shd w:fill="F8F9FA" w:val="clear"/>
          </w:tcPr>
          <w:p>
            <w:pPr>
              <w:spacing w:before="40" w:after="40" w:line="288" w:lineRule="auto"/>
            </w:pPr>
            <w:r/>
            <w:r>
              <w:rPr>
                <w:rFonts w:ascii="Microsoft YaHei" w:hAnsi="Microsoft YaHei"/>
                <w:sz w:val="18"/>
              </w:rPr>
              <w:t>MA10</w:t>
            </w:r>
          </w:p>
        </w:tc>
        <w:tc>
          <w:tcPr>
            <w:tcW w:type="dxa" w:w="3022"/>
            <w:shd w:fill="F8F9FA" w:val="clear"/>
          </w:tcPr>
          <w:p>
            <w:pPr>
              <w:spacing w:before="40" w:after="40" w:line="288" w:lineRule="auto"/>
            </w:pPr>
            <w:r/>
            <w:r>
              <w:rPr>
                <w:rFonts w:ascii="Microsoft YaHei" w:hAnsi="Microsoft YaHei"/>
                <w:sz w:val="18"/>
              </w:rPr>
              <w:t>~26.67元</w:t>
            </w:r>
          </w:p>
        </w:tc>
        <w:tc>
          <w:tcPr>
            <w:tcW w:type="dxa" w:w="3022"/>
            <w:shd w:fill="F8F9FA" w:val="clear"/>
          </w:tcPr>
          <w:p>
            <w:pPr>
              <w:spacing w:before="40" w:after="40" w:line="288" w:lineRule="auto"/>
            </w:pPr>
            <w:r/>
            <w:r>
              <w:rPr>
                <w:rFonts w:ascii="Microsoft YaHei" w:hAnsi="Microsoft YaHei"/>
                <w:b/>
                <w:color w:val="1A1A1A"/>
                <w:sz w:val="18"/>
              </w:rPr>
              <w:t>持平</w:t>
            </w:r>
            <w:r>
              <w:rPr>
                <w:rFonts w:ascii="Microsoft YaHei" w:hAnsi="Microsoft YaHei"/>
                <w:sz w:val="18"/>
              </w:rPr>
              <w:t>（当前价精准落在MA10一线）</w:t>
            </w:r>
          </w:p>
        </w:tc>
      </w:tr>
      <w:tr>
        <w:tc>
          <w:tcPr>
            <w:tcW w:type="dxa" w:w="3022"/>
          </w:tcPr>
          <w:p>
            <w:pPr>
              <w:spacing w:before="40" w:after="40" w:line="288" w:lineRule="auto"/>
            </w:pPr>
            <w:r/>
            <w:r>
              <w:rPr>
                <w:rFonts w:ascii="Microsoft YaHei" w:hAnsi="Microsoft YaHei"/>
                <w:sz w:val="18"/>
              </w:rPr>
              <w:t>MA20 / 布林中轨</w:t>
            </w:r>
          </w:p>
        </w:tc>
        <w:tc>
          <w:tcPr>
            <w:tcW w:type="dxa" w:w="3022"/>
          </w:tcPr>
          <w:p>
            <w:pPr>
              <w:spacing w:before="40" w:after="40" w:line="288" w:lineRule="auto"/>
            </w:pPr>
            <w:r/>
            <w:r>
              <w:rPr>
                <w:rFonts w:ascii="Microsoft YaHei" w:hAnsi="Microsoft YaHei"/>
                <w:sz w:val="18"/>
              </w:rPr>
              <w:t>~27.62元</w:t>
            </w:r>
          </w:p>
        </w:tc>
        <w:tc>
          <w:tcPr>
            <w:tcW w:type="dxa" w:w="3022"/>
          </w:tcPr>
          <w:p>
            <w:pPr>
              <w:spacing w:before="40" w:after="40" w:line="288" w:lineRule="auto"/>
            </w:pPr>
            <w:r/>
            <w:r>
              <w:rPr>
                <w:rFonts w:ascii="Microsoft YaHei" w:hAnsi="Microsoft YaHei"/>
                <w:b/>
                <w:color w:val="1A1A1A"/>
                <w:sz w:val="18"/>
              </w:rPr>
              <w:t>-3.5%</w:t>
            </w:r>
            <w:r>
              <w:rPr>
                <w:rFonts w:ascii="Microsoft YaHei" w:hAnsi="Microsoft YaHei"/>
                <w:sz w:val="18"/>
              </w:rPr>
              <w:t>（下方明显偏离）</w:t>
            </w:r>
          </w:p>
        </w:tc>
      </w:tr>
      <w:tr>
        <w:tc>
          <w:tcPr>
            <w:tcW w:type="dxa" w:w="3022"/>
            <w:shd w:fill="F8F9FA" w:val="clear"/>
          </w:tcPr>
          <w:p>
            <w:pPr>
              <w:spacing w:before="40" w:after="40" w:line="288" w:lineRule="auto"/>
            </w:pPr>
            <w:r/>
            <w:r>
              <w:rPr>
                <w:rFonts w:ascii="Microsoft YaHei" w:hAnsi="Microsoft YaHei"/>
                <w:sz w:val="18"/>
              </w:rPr>
              <w:t>布林带上轨</w:t>
            </w:r>
          </w:p>
        </w:tc>
        <w:tc>
          <w:tcPr>
            <w:tcW w:type="dxa" w:w="3022"/>
            <w:shd w:fill="F8F9FA" w:val="clear"/>
          </w:tcPr>
          <w:p>
            <w:pPr>
              <w:spacing w:before="40" w:after="40" w:line="288" w:lineRule="auto"/>
            </w:pPr>
            <w:r/>
            <w:r>
              <w:rPr>
                <w:rFonts w:ascii="Microsoft YaHei" w:hAnsi="Microsoft YaHei"/>
                <w:sz w:val="18"/>
              </w:rPr>
              <w:t>29.86元</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布林带下轨</w:t>
            </w:r>
          </w:p>
        </w:tc>
        <w:tc>
          <w:tcPr>
            <w:tcW w:type="dxa" w:w="3022"/>
          </w:tcPr>
          <w:p>
            <w:pPr>
              <w:spacing w:before="40" w:after="40" w:line="288" w:lineRule="auto"/>
            </w:pPr>
            <w:r/>
            <w:r>
              <w:rPr>
                <w:rFonts w:ascii="Microsoft YaHei" w:hAnsi="Microsoft YaHei"/>
                <w:sz w:val="18"/>
              </w:rPr>
              <w:t>25.38元</w:t>
            </w:r>
          </w:p>
        </w:tc>
        <w:tc>
          <w:tcPr>
            <w:tcW w:type="dxa" w:w="3022"/>
          </w:tcPr>
          <w:p>
            <w:pPr>
              <w:spacing w:before="40" w:after="40" w:line="288" w:lineRule="auto"/>
            </w:pPr>
            <w:r/>
            <w:r>
              <w:rPr>
                <w:rFonts w:ascii="Microsoft YaHei" w:hAnsi="Microsoft YaHei"/>
                <w:sz w:val="18"/>
              </w:rPr>
              <w:t>—</w:t>
            </w:r>
          </w:p>
        </w:tc>
      </w:tr>
    </w:tbl>
    <w:p/>
    <w:p>
      <w:r>
        <w:rPr>
          <w:rFonts w:ascii="Microsoft YaHei" w:hAnsi="Microsoft YaHei"/>
          <w:b/>
          <w:color w:val="1A1A1A"/>
        </w:rPr>
        <w:t>技术面研判：</w:t>
      </w:r>
    </w:p>
    <w:p>
      <w:pPr>
        <w:pStyle w:val="ListBullet"/>
      </w:pPr>
      <w:r>
        <w:rPr>
          <w:rFonts w:ascii="Microsoft YaHei" w:hAnsi="Microsoft YaHei"/>
        </w:rPr>
        <w:t xml:space="preserve">股价 </w:t>
      </w:r>
      <w:r>
        <w:rPr>
          <w:rFonts w:ascii="Microsoft YaHei" w:hAnsi="Microsoft YaHei"/>
          <w:b/>
          <w:color w:val="1A1A1A"/>
        </w:rPr>
        <w:t>26.66元</w:t>
      </w:r>
      <w:r>
        <w:rPr>
          <w:rFonts w:ascii="Microsoft YaHei" w:hAnsi="Microsoft YaHei"/>
        </w:rPr>
        <w:t xml:space="preserve"> 刚好站上 </w:t>
      </w:r>
      <w:r>
        <w:rPr>
          <w:rFonts w:ascii="Microsoft YaHei" w:hAnsi="Microsoft YaHei"/>
          <w:b/>
          <w:color w:val="1A1A1A"/>
        </w:rPr>
        <w:t>MA5（26.51）</w:t>
      </w:r>
      <w:r>
        <w:rPr>
          <w:rFonts w:ascii="Microsoft YaHei" w:hAnsi="Microsoft YaHei"/>
        </w:rPr>
        <w:t xml:space="preserve">，并与 </w:t>
      </w:r>
      <w:r>
        <w:rPr>
          <w:rFonts w:ascii="Microsoft YaHei" w:hAnsi="Microsoft YaHei"/>
          <w:b/>
          <w:color w:val="1A1A1A"/>
        </w:rPr>
        <w:t>MA10（26.67）</w:t>
      </w:r>
      <w:r>
        <w:rPr>
          <w:rFonts w:ascii="Microsoft YaHei" w:hAnsi="Microsoft YaHei"/>
        </w:rPr>
        <w:t xml:space="preserve"> 基本持平，短线出现企稳信号；</w:t>
      </w:r>
    </w:p>
    <w:p>
      <w:pPr>
        <w:pStyle w:val="ListBullet"/>
      </w:pPr>
      <w:r>
        <w:rPr>
          <w:rFonts w:ascii="Microsoft YaHei" w:hAnsi="Microsoft YaHei"/>
        </w:rPr>
        <w:t xml:space="preserve">但距离 </w:t>
      </w:r>
      <w:r>
        <w:rPr>
          <w:rFonts w:ascii="Microsoft YaHei" w:hAnsi="Microsoft YaHei"/>
          <w:b/>
          <w:color w:val="1A1A1A"/>
        </w:rPr>
        <w:t>MA20/布林中轨（27.62元）</w:t>
      </w:r>
      <w:r>
        <w:rPr>
          <w:rFonts w:ascii="Microsoft YaHei" w:hAnsi="Microsoft YaHei"/>
        </w:rPr>
        <w:t xml:space="preserve"> 仍有 </w:t>
      </w:r>
      <w:r>
        <w:rPr>
          <w:rFonts w:ascii="Microsoft YaHei" w:hAnsi="Microsoft YaHei"/>
          <w:b/>
          <w:color w:val="1A1A1A"/>
        </w:rPr>
        <w:t>3.5%</w:t>
      </w:r>
      <w:r>
        <w:rPr>
          <w:rFonts w:ascii="Microsoft YaHei" w:hAnsi="Microsoft YaHei"/>
        </w:rPr>
        <w:t xml:space="preserve"> 的负偏离度，中线格局仍偏弱势，上方存在明显压制；</w:t>
      </w:r>
    </w:p>
    <w:p>
      <w:pPr>
        <w:pStyle w:val="ListBullet"/>
      </w:pPr>
      <w:r>
        <w:rPr>
          <w:rFonts w:ascii="Microsoft YaHei" w:hAnsi="Microsoft YaHei"/>
        </w:rPr>
        <w:t xml:space="preserve">布林带开口（上轨29.86 - 下轨25.38）宽度约 </w:t>
      </w:r>
      <w:r>
        <w:rPr>
          <w:rFonts w:ascii="Microsoft YaHei" w:hAnsi="Microsoft YaHei"/>
          <w:b/>
          <w:color w:val="1A1A1A"/>
        </w:rPr>
        <w:t>4.48元</w:t>
      </w:r>
      <w:r>
        <w:rPr>
          <w:rFonts w:ascii="Microsoft YaHei" w:hAnsi="Microsoft YaHei"/>
        </w:rPr>
        <w:t>，波动率处于相对低位，尚未出现方向性突破信号；</w:t>
      </w:r>
    </w:p>
    <w:p>
      <w:pPr>
        <w:pStyle w:val="ListBullet"/>
      </w:pPr>
      <w:r>
        <w:rPr>
          <w:rFonts w:ascii="Microsoft YaHei" w:hAnsi="Microsoft YaHei"/>
          <w:b/>
          <w:color w:val="1A1A1A"/>
        </w:rPr>
        <w:t>关键观察位</w:t>
      </w:r>
      <w:r>
        <w:rPr>
          <w:rFonts w:ascii="Microsoft YaHei" w:hAnsi="Microsoft YaHei"/>
        </w:rPr>
        <w:t xml:space="preserve">：短线能否站稳 </w:t>
      </w:r>
      <w:r>
        <w:rPr>
          <w:rFonts w:ascii="Microsoft YaHei" w:hAnsi="Microsoft YaHei"/>
          <w:b/>
          <w:color w:val="1A1A1A"/>
        </w:rPr>
        <w:t>MA10</w:t>
      </w:r>
      <w:r>
        <w:rPr>
          <w:rFonts w:ascii="Microsoft YaHei" w:hAnsi="Microsoft YaHei"/>
        </w:rPr>
        <w:t xml:space="preserve"> 之上，是判断反弹持续性的重要锚点。</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五、新闻资讯</w:t>
      </w:r>
    </w:p>
    <w:p>
      <w:pPr>
        <w:spacing w:before="280" w:after="80" w:line="312" w:lineRule="auto"/>
      </w:pPr>
      <w:r>
        <w:rPr>
          <w:rFonts w:ascii="Microsoft YaHei" w:hAnsi="Microsoft YaHei"/>
          <w:b/>
          <w:color w:val="333333"/>
          <w:sz w:val="24"/>
        </w:rPr>
        <w:t>5.1 关联快讯</w:t>
      </w:r>
    </w:p>
    <w:p>
      <w:pPr>
        <w:pStyle w:val="ListNumber"/>
      </w:pPr>
      <w:r>
        <w:rPr>
          <w:rFonts w:ascii="Microsoft YaHei" w:hAnsi="Microsoft YaHei"/>
          <w:b/>
          <w:color w:val="1A1A1A"/>
        </w:rPr>
        <w:t>财联社7月29日早间新闻精选</w:t>
      </w:r>
      <w:r>
        <w:rPr>
          <w:rFonts w:ascii="Microsoft YaHei" w:hAnsi="Microsoft YaHei"/>
        </w:rPr>
        <w:t>（关键词匹配：地产、房地产、期货）</w:t>
      </w:r>
    </w:p>
    <w:p>
      <w:r>
        <w:rPr>
          <w:rFonts w:ascii="Microsoft YaHei" w:hAnsi="Microsoft YaHei"/>
        </w:rPr>
        <w:t xml:space="preserve">   - 央行数据显示二季度末人民币房地产贷款余额同比下降 </w:t>
      </w:r>
      <w:r>
        <w:rPr>
          <w:rFonts w:ascii="Microsoft YaHei" w:hAnsi="Microsoft YaHei"/>
          <w:b/>
          <w:color w:val="1A1A1A"/>
        </w:rPr>
        <w:t>4.9%</w:t>
      </w:r>
      <w:r>
        <w:rPr>
          <w:rFonts w:ascii="Microsoft YaHei" w:hAnsi="Microsoft YaHei"/>
        </w:rPr>
        <w:t>，地产端压力延续，对券商板块的信用业务（如资管、投行）形成间接压制；</w:t>
      </w:r>
    </w:p>
    <w:p>
      <w:r>
        <w:rPr>
          <w:rFonts w:ascii="Microsoft YaHei" w:hAnsi="Microsoft YaHei"/>
        </w:rPr>
        <w:t xml:space="preserve">   - 银行理财存续规模 </w:t>
      </w:r>
      <w:r>
        <w:rPr>
          <w:rFonts w:ascii="Microsoft YaHei" w:hAnsi="Microsoft YaHei"/>
          <w:b/>
          <w:color w:val="1A1A1A"/>
        </w:rPr>
        <w:t>33.66万亿元</w:t>
      </w:r>
      <w:r>
        <w:rPr>
          <w:rFonts w:ascii="Microsoft YaHei" w:hAnsi="Microsoft YaHei"/>
        </w:rPr>
        <w:t>（同比+9.75%），显示居民资产向金融资产迁移的大趋势未变，对券商财富管理业务构成中长期利好；</w:t>
      </w:r>
    </w:p>
    <w:p>
      <w:r>
        <w:rPr>
          <w:rFonts w:ascii="Microsoft YaHei" w:hAnsi="Microsoft YaHei"/>
        </w:rPr>
        <w:t xml:space="preserve">   - 公司自身在多个板块（食品饮料、化工、PCB）发出研报观点，显示研究品牌影响力持续，但并未涉及公司自身的重大经营公告。</w:t>
      </w:r>
    </w:p>
    <w:p>
      <w:pPr>
        <w:pStyle w:val="ListNumber"/>
      </w:pPr>
      <w:r>
        <w:rPr>
          <w:rFonts w:ascii="Microsoft YaHei" w:hAnsi="Microsoft YaHei"/>
          <w:b/>
          <w:color w:val="1A1A1A"/>
        </w:rPr>
        <w:t>同行业中，广发证券（+5.19%）、湘财股份（+4.95%）、国泰海通（+3.99%）</w:t>
      </w:r>
      <w:r>
        <w:rPr>
          <w:rFonts w:ascii="Microsoft YaHei" w:hAnsi="Microsoft YaHei"/>
        </w:rPr>
        <w:t xml:space="preserve"> 今日早盘表现强势，中信建投涨幅仅 </w:t>
      </w:r>
      <w:r>
        <w:rPr>
          <w:rFonts w:ascii="Microsoft YaHei" w:hAnsi="Microsoft YaHei"/>
          <w:b/>
          <w:color w:val="1A1A1A"/>
        </w:rPr>
        <w:t>0.60%</w:t>
      </w:r>
      <w:r>
        <w:rPr>
          <w:rFonts w:ascii="Microsoft YaHei" w:hAnsi="Microsoft YaHei"/>
        </w:rPr>
        <w:t>，在券商板块中排名靠后，存在</w:t>
      </w:r>
      <w:r>
        <w:rPr>
          <w:rFonts w:ascii="Microsoft YaHei" w:hAnsi="Microsoft YaHei"/>
          <w:b/>
          <w:color w:val="1A1A1A"/>
        </w:rPr>
        <w:t>被动跟涨</w:t>
      </w:r>
      <w:r>
        <w:rPr>
          <w:rFonts w:ascii="Microsoft YaHei" w:hAnsi="Microsoft YaHei"/>
        </w:rPr>
        <w:t>而非主动领涨的迹象。</w:t>
      </w:r>
    </w:p>
    <w:p>
      <w:pPr>
        <w:spacing w:before="280" w:after="80" w:line="312" w:lineRule="auto"/>
      </w:pPr>
      <w:r>
        <w:rPr>
          <w:rFonts w:ascii="Microsoft YaHei" w:hAnsi="Microsoft YaHei"/>
          <w:b/>
          <w:color w:val="333333"/>
          <w:sz w:val="24"/>
        </w:rPr>
        <w:t>5.2 估值面参考</w:t>
      </w:r>
    </w:p>
    <w:p>
      <w:r>
        <w:rPr>
          <w:rFonts w:ascii="Microsoft YaHei" w:hAnsi="Microsoft YaHei"/>
        </w:rPr>
        <w:t xml:space="preserve">动态PE </w:t>
      </w:r>
      <w:r>
        <w:rPr>
          <w:rFonts w:ascii="Microsoft YaHei" w:hAnsi="Microsoft YaHei"/>
          <w:b/>
          <w:color w:val="1A1A1A"/>
        </w:rPr>
        <w:t>14.1倍</w:t>
      </w:r>
      <w:r>
        <w:rPr>
          <w:rFonts w:ascii="Microsoft YaHei" w:hAnsi="Microsoft YaHei"/>
        </w:rPr>
        <w:t xml:space="preserve">，PB </w:t>
      </w:r>
      <w:r>
        <w:rPr>
          <w:rFonts w:ascii="Microsoft YaHei" w:hAnsi="Microsoft YaHei"/>
          <w:b/>
          <w:color w:val="1A1A1A"/>
        </w:rPr>
        <w:t>2.4倍</w:t>
      </w:r>
      <w:r>
        <w:rPr>
          <w:rFonts w:ascii="Microsoft YaHei" w:hAnsi="Microsoft YaHei"/>
        </w:rPr>
        <w:t>，在头部券商中估值处于中等偏低水平。若市场情绪持续回暖，估值有一定修复空间，但需等待更明确的催化剂（如成交额持续放大、政策面利好等）。</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六、板块关联</w:t>
      </w:r>
    </w:p>
    <w:p>
      <w:r>
        <w:rPr>
          <w:rFonts w:ascii="Microsoft YaHei" w:hAnsi="Microsoft YaHei"/>
        </w:rPr>
        <w:t>中信建投今日在所属板块中的相对表现如下：</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shd w:fill="F6F8FA" w:val="clear"/>
          </w:tcPr>
          <w:p>
            <w:pPr>
              <w:spacing w:before="40" w:after="40" w:line="288" w:lineRule="auto"/>
            </w:pPr>
            <w:r/>
            <w:r>
              <w:rPr>
                <w:rFonts w:ascii="Microsoft YaHei" w:hAnsi="Microsoft YaHei"/>
                <w:b/>
                <w:color w:val="1A1A1A"/>
                <w:sz w:val="18"/>
              </w:rPr>
              <w:t>板块</w:t>
            </w:r>
          </w:p>
        </w:tc>
        <w:tc>
          <w:tcPr>
            <w:tcW w:type="dxa" w:w="1813"/>
            <w:shd w:fill="F6F8FA" w:val="clear"/>
          </w:tcPr>
          <w:p>
            <w:pPr>
              <w:spacing w:before="40" w:after="40" w:line="288" w:lineRule="auto"/>
            </w:pPr>
            <w:r/>
            <w:r>
              <w:rPr>
                <w:rFonts w:ascii="Microsoft YaHei" w:hAnsi="Microsoft YaHei"/>
                <w:b/>
                <w:color w:val="1A1A1A"/>
                <w:sz w:val="18"/>
              </w:rPr>
              <w:t>板块涨幅</w:t>
            </w:r>
          </w:p>
        </w:tc>
        <w:tc>
          <w:tcPr>
            <w:tcW w:type="dxa" w:w="1813"/>
            <w:shd w:fill="F6F8FA" w:val="clear"/>
          </w:tcPr>
          <w:p>
            <w:pPr>
              <w:spacing w:before="40" w:after="40" w:line="288" w:lineRule="auto"/>
            </w:pPr>
            <w:r/>
            <w:r>
              <w:rPr>
                <w:rFonts w:ascii="Microsoft YaHei" w:hAnsi="Microsoft YaHei"/>
                <w:b/>
                <w:color w:val="1A1A1A"/>
                <w:sz w:val="18"/>
              </w:rPr>
              <w:t>板块内排名</w:t>
            </w:r>
          </w:p>
        </w:tc>
        <w:tc>
          <w:tcPr>
            <w:tcW w:type="dxa" w:w="1813"/>
            <w:shd w:fill="F6F8FA" w:val="clear"/>
          </w:tcPr>
          <w:p>
            <w:pPr>
              <w:spacing w:before="40" w:after="40" w:line="288" w:lineRule="auto"/>
            </w:pPr>
            <w:r/>
            <w:r>
              <w:rPr>
                <w:rFonts w:ascii="Microsoft YaHei" w:hAnsi="Microsoft YaHei"/>
                <w:b/>
                <w:color w:val="1A1A1A"/>
                <w:sz w:val="18"/>
              </w:rPr>
              <w:t>该股涨跌幅</w:t>
            </w:r>
          </w:p>
        </w:tc>
        <w:tc>
          <w:tcPr>
            <w:tcW w:type="dxa" w:w="1813"/>
            <w:shd w:fill="F6F8FA" w:val="clear"/>
          </w:tcPr>
          <w:p>
            <w:pPr>
              <w:spacing w:before="40" w:after="40" w:line="288" w:lineRule="auto"/>
            </w:pPr>
            <w:r/>
            <w:r>
              <w:rPr>
                <w:rFonts w:ascii="Microsoft YaHei" w:hAnsi="Microsoft YaHei"/>
                <w:b/>
                <w:color w:val="1A1A1A"/>
                <w:sz w:val="18"/>
              </w:rPr>
              <w:t>表现评价</w:t>
            </w:r>
          </w:p>
        </w:tc>
      </w:tr>
      <w:tr>
        <w:tc>
          <w:tcPr>
            <w:tcW w:type="dxa" w:w="1813"/>
          </w:tcPr>
          <w:p>
            <w:pPr>
              <w:spacing w:before="40" w:after="40" w:line="288" w:lineRule="auto"/>
            </w:pPr>
            <w:r/>
            <w:r>
              <w:rPr>
                <w:rFonts w:ascii="Microsoft YaHei" w:hAnsi="Microsoft YaHei"/>
                <w:sz w:val="18"/>
              </w:rPr>
              <w:t>金融(A股)</w:t>
            </w:r>
          </w:p>
        </w:tc>
        <w:tc>
          <w:tcPr>
            <w:tcW w:type="dxa" w:w="1813"/>
          </w:tcPr>
          <w:p>
            <w:pPr>
              <w:spacing w:before="40" w:after="40" w:line="288" w:lineRule="auto"/>
            </w:pPr>
            <w:r/>
            <w:r>
              <w:rPr>
                <w:rFonts w:ascii="Microsoft YaHei" w:hAnsi="Microsoft YaHei"/>
                <w:b/>
                <w:color w:val="1A1A1A"/>
                <w:sz w:val="18"/>
              </w:rPr>
              <w:t>+1.61%</w:t>
            </w:r>
          </w:p>
        </w:tc>
        <w:tc>
          <w:tcPr>
            <w:tcW w:type="dxa" w:w="1813"/>
          </w:tcPr>
          <w:p>
            <w:pPr>
              <w:spacing w:before="40" w:after="40" w:line="288" w:lineRule="auto"/>
            </w:pPr>
            <w:r/>
            <w:r>
              <w:rPr>
                <w:rFonts w:ascii="Microsoft YaHei" w:hAnsi="Microsoft YaHei"/>
                <w:sz w:val="18"/>
              </w:rPr>
              <w:t>105/121</w:t>
            </w:r>
          </w:p>
        </w:tc>
        <w:tc>
          <w:tcPr>
            <w:tcW w:type="dxa" w:w="1813"/>
          </w:tcPr>
          <w:p>
            <w:pPr>
              <w:spacing w:before="40" w:after="40" w:line="288" w:lineRule="auto"/>
            </w:pPr>
            <w:r/>
            <w:r>
              <w:rPr>
                <w:rFonts w:ascii="Microsoft YaHei" w:hAnsi="Microsoft YaHei"/>
                <w:sz w:val="18"/>
              </w:rPr>
              <w:t>+0.60%</w:t>
            </w:r>
          </w:p>
        </w:tc>
        <w:tc>
          <w:tcPr>
            <w:tcW w:type="dxa" w:w="1813"/>
          </w:tcPr>
          <w:p>
            <w:pPr>
              <w:spacing w:before="40" w:after="40" w:line="288" w:lineRule="auto"/>
            </w:pPr>
            <w:r/>
            <w:r>
              <w:rPr>
                <w:rFonts w:ascii="Microsoft YaHei" w:hAnsi="Microsoft YaHei"/>
                <w:sz w:val="18"/>
              </w:rPr>
              <w:t>⚠️ 明显落后板块均值</w:t>
            </w:r>
          </w:p>
        </w:tc>
      </w:tr>
      <w:tr>
        <w:tc>
          <w:tcPr>
            <w:tcW w:type="dxa" w:w="1813"/>
            <w:shd w:fill="F8F9FA" w:val="clear"/>
          </w:tcPr>
          <w:p>
            <w:pPr>
              <w:spacing w:before="40" w:after="40" w:line="288" w:lineRule="auto"/>
            </w:pPr>
            <w:r/>
            <w:r>
              <w:rPr>
                <w:rFonts w:ascii="Microsoft YaHei" w:hAnsi="Microsoft YaHei"/>
                <w:sz w:val="18"/>
              </w:rPr>
              <w:t>投资银行业与经纪业(A股)</w:t>
            </w:r>
          </w:p>
        </w:tc>
        <w:tc>
          <w:tcPr>
            <w:tcW w:type="dxa" w:w="1813"/>
            <w:shd w:fill="F8F9FA" w:val="clear"/>
          </w:tcPr>
          <w:p>
            <w:pPr>
              <w:spacing w:before="40" w:after="40" w:line="288" w:lineRule="auto"/>
            </w:pPr>
            <w:r/>
            <w:r>
              <w:rPr>
                <w:rFonts w:ascii="Microsoft YaHei" w:hAnsi="Microsoft YaHei"/>
                <w:b/>
                <w:color w:val="1A1A1A"/>
                <w:sz w:val="18"/>
              </w:rPr>
              <w:t>+1.63%</w:t>
            </w:r>
          </w:p>
        </w:tc>
        <w:tc>
          <w:tcPr>
            <w:tcW w:type="dxa" w:w="1813"/>
            <w:shd w:fill="F8F9FA" w:val="clear"/>
          </w:tcPr>
          <w:p>
            <w:pPr>
              <w:spacing w:before="40" w:after="40" w:line="288" w:lineRule="auto"/>
            </w:pPr>
            <w:r/>
            <w:r>
              <w:rPr>
                <w:rFonts w:ascii="Microsoft YaHei" w:hAnsi="Microsoft YaHei"/>
                <w:sz w:val="18"/>
              </w:rPr>
              <w:t>44/48</w:t>
            </w:r>
          </w:p>
        </w:tc>
        <w:tc>
          <w:tcPr>
            <w:tcW w:type="dxa" w:w="1813"/>
            <w:shd w:fill="F8F9FA" w:val="clear"/>
          </w:tcPr>
          <w:p>
            <w:pPr>
              <w:spacing w:before="40" w:after="40" w:line="288" w:lineRule="auto"/>
            </w:pPr>
            <w:r/>
            <w:r>
              <w:rPr>
                <w:rFonts w:ascii="Microsoft YaHei" w:hAnsi="Microsoft YaHei"/>
                <w:sz w:val="18"/>
              </w:rPr>
              <w:t>+0.60%</w:t>
            </w:r>
          </w:p>
        </w:tc>
        <w:tc>
          <w:tcPr>
            <w:tcW w:type="dxa" w:w="1813"/>
            <w:shd w:fill="F8F9FA" w:val="clear"/>
          </w:tcPr>
          <w:p>
            <w:pPr>
              <w:spacing w:before="40" w:after="40" w:line="288" w:lineRule="auto"/>
            </w:pPr>
            <w:r/>
            <w:r>
              <w:rPr>
                <w:rFonts w:ascii="Microsoft YaHei" w:hAnsi="Microsoft YaHei"/>
                <w:sz w:val="18"/>
              </w:rPr>
              <w:t>⚠️ 倒数第五，显著跑输</w:t>
            </w:r>
          </w:p>
        </w:tc>
      </w:tr>
      <w:tr>
        <w:tc>
          <w:tcPr>
            <w:tcW w:type="dxa" w:w="1813"/>
          </w:tcPr>
          <w:p>
            <w:pPr>
              <w:spacing w:before="40" w:after="40" w:line="288" w:lineRule="auto"/>
            </w:pPr>
            <w:r/>
            <w:r>
              <w:rPr>
                <w:rFonts w:ascii="Microsoft YaHei" w:hAnsi="Microsoft YaHei"/>
                <w:sz w:val="18"/>
              </w:rPr>
              <w:t>资本市场(A股)</w:t>
            </w:r>
          </w:p>
        </w:tc>
        <w:tc>
          <w:tcPr>
            <w:tcW w:type="dxa" w:w="1813"/>
          </w:tcPr>
          <w:p>
            <w:pPr>
              <w:spacing w:before="40" w:after="40" w:line="288" w:lineRule="auto"/>
            </w:pPr>
            <w:r/>
            <w:r>
              <w:rPr>
                <w:rFonts w:ascii="Microsoft YaHei" w:hAnsi="Microsoft YaHei"/>
                <w:b/>
                <w:color w:val="1A1A1A"/>
                <w:sz w:val="18"/>
              </w:rPr>
              <w:t>+1.47%</w:t>
            </w:r>
          </w:p>
        </w:tc>
        <w:tc>
          <w:tcPr>
            <w:tcW w:type="dxa" w:w="1813"/>
          </w:tcPr>
          <w:p>
            <w:pPr>
              <w:spacing w:before="40" w:after="40" w:line="288" w:lineRule="auto"/>
            </w:pPr>
            <w:r/>
            <w:r>
              <w:rPr>
                <w:rFonts w:ascii="Microsoft YaHei" w:hAnsi="Microsoft YaHei"/>
                <w:sz w:val="18"/>
              </w:rPr>
              <w:t>51/58</w:t>
            </w:r>
          </w:p>
        </w:tc>
        <w:tc>
          <w:tcPr>
            <w:tcW w:type="dxa" w:w="1813"/>
          </w:tcPr>
          <w:p>
            <w:pPr>
              <w:spacing w:before="40" w:after="40" w:line="288" w:lineRule="auto"/>
            </w:pPr>
            <w:r/>
            <w:r>
              <w:rPr>
                <w:rFonts w:ascii="Microsoft YaHei" w:hAnsi="Microsoft YaHei"/>
                <w:sz w:val="18"/>
              </w:rPr>
              <w:t>+0.60%</w:t>
            </w:r>
          </w:p>
        </w:tc>
        <w:tc>
          <w:tcPr>
            <w:tcW w:type="dxa" w:w="1813"/>
          </w:tcPr>
          <w:p>
            <w:pPr>
              <w:spacing w:before="40" w:after="40" w:line="288" w:lineRule="auto"/>
            </w:pPr>
            <w:r/>
            <w:r>
              <w:rPr>
                <w:rFonts w:ascii="Microsoft YaHei" w:hAnsi="Microsoft YaHei"/>
                <w:sz w:val="18"/>
              </w:rPr>
              <w:t>⚠️ 跑输同业</w:t>
            </w:r>
          </w:p>
        </w:tc>
      </w:tr>
      <w:tr>
        <w:tc>
          <w:tcPr>
            <w:tcW w:type="dxa" w:w="1813"/>
            <w:shd w:fill="F8F9FA" w:val="clear"/>
          </w:tcPr>
          <w:p>
            <w:pPr>
              <w:spacing w:before="40" w:after="40" w:line="288" w:lineRule="auto"/>
            </w:pPr>
            <w:r/>
            <w:r>
              <w:rPr>
                <w:rFonts w:ascii="Microsoft YaHei" w:hAnsi="Microsoft YaHei"/>
                <w:sz w:val="18"/>
              </w:rPr>
              <w:t>沪深300样本股</w:t>
            </w:r>
          </w:p>
        </w:tc>
        <w:tc>
          <w:tcPr>
            <w:tcW w:type="dxa" w:w="1813"/>
            <w:shd w:fill="F8F9FA" w:val="clear"/>
          </w:tcPr>
          <w:p>
            <w:pPr>
              <w:spacing w:before="40" w:after="40" w:line="288" w:lineRule="auto"/>
            </w:pPr>
            <w:r/>
            <w:r>
              <w:rPr>
                <w:rFonts w:ascii="Microsoft YaHei" w:hAnsi="Microsoft YaHei"/>
                <w:b/>
                <w:color w:val="1A1A1A"/>
                <w:sz w:val="18"/>
              </w:rPr>
              <w:t>+1.57%</w:t>
            </w:r>
          </w:p>
        </w:tc>
        <w:tc>
          <w:tcPr>
            <w:tcW w:type="dxa" w:w="1813"/>
            <w:shd w:fill="F8F9FA" w:val="clear"/>
          </w:tcPr>
          <w:p>
            <w:pPr>
              <w:spacing w:before="40" w:after="40" w:line="288" w:lineRule="auto"/>
            </w:pPr>
            <w:r/>
            <w:r>
              <w:rPr>
                <w:rFonts w:ascii="Microsoft YaHei" w:hAnsi="Microsoft YaHei"/>
                <w:sz w:val="18"/>
              </w:rPr>
              <w:t>243/319</w:t>
            </w:r>
          </w:p>
        </w:tc>
        <w:tc>
          <w:tcPr>
            <w:tcW w:type="dxa" w:w="1813"/>
            <w:shd w:fill="F8F9FA" w:val="clear"/>
          </w:tcPr>
          <w:p>
            <w:pPr>
              <w:spacing w:before="40" w:after="40" w:line="288" w:lineRule="auto"/>
            </w:pPr>
            <w:r/>
            <w:r>
              <w:rPr>
                <w:rFonts w:ascii="Microsoft YaHei" w:hAnsi="Microsoft YaHei"/>
                <w:sz w:val="18"/>
              </w:rPr>
              <w:t>+0.60%</w:t>
            </w:r>
          </w:p>
        </w:tc>
        <w:tc>
          <w:tcPr>
            <w:tcW w:type="dxa" w:w="1813"/>
            <w:shd w:fill="F8F9FA" w:val="clear"/>
          </w:tcPr>
          <w:p>
            <w:pPr>
              <w:spacing w:before="40" w:after="40" w:line="288" w:lineRule="auto"/>
            </w:pPr>
            <w:r/>
            <w:r>
              <w:rPr>
                <w:rFonts w:ascii="Microsoft YaHei" w:hAnsi="Microsoft YaHei"/>
                <w:sz w:val="18"/>
              </w:rPr>
              <w:t>处于中后段</w:t>
            </w:r>
          </w:p>
        </w:tc>
      </w:tr>
      <w:tr>
        <w:tc>
          <w:tcPr>
            <w:tcW w:type="dxa" w:w="1813"/>
          </w:tcPr>
          <w:p>
            <w:pPr>
              <w:spacing w:before="40" w:after="40" w:line="288" w:lineRule="auto"/>
            </w:pPr>
            <w:r/>
            <w:r>
              <w:rPr>
                <w:rFonts w:ascii="Microsoft YaHei" w:hAnsi="Microsoft YaHei"/>
                <w:sz w:val="18"/>
              </w:rPr>
              <w:t>上证180成份股</w:t>
            </w:r>
          </w:p>
        </w:tc>
        <w:tc>
          <w:tcPr>
            <w:tcW w:type="dxa" w:w="1813"/>
          </w:tcPr>
          <w:p>
            <w:pPr>
              <w:spacing w:before="40" w:after="40" w:line="288" w:lineRule="auto"/>
            </w:pPr>
            <w:r/>
            <w:r>
              <w:rPr>
                <w:rFonts w:ascii="Microsoft YaHei" w:hAnsi="Microsoft YaHei"/>
                <w:b/>
                <w:color w:val="1A1A1A"/>
                <w:sz w:val="18"/>
              </w:rPr>
              <w:t>+1.79%</w:t>
            </w:r>
          </w:p>
        </w:tc>
        <w:tc>
          <w:tcPr>
            <w:tcW w:type="dxa" w:w="1813"/>
          </w:tcPr>
          <w:p>
            <w:pPr>
              <w:spacing w:before="40" w:after="40" w:line="288" w:lineRule="auto"/>
            </w:pPr>
            <w:r/>
            <w:r>
              <w:rPr>
                <w:rFonts w:ascii="Microsoft YaHei" w:hAnsi="Microsoft YaHei"/>
                <w:sz w:val="18"/>
              </w:rPr>
              <w:t>156/197</w:t>
            </w:r>
          </w:p>
        </w:tc>
        <w:tc>
          <w:tcPr>
            <w:tcW w:type="dxa" w:w="1813"/>
          </w:tcPr>
          <w:p>
            <w:pPr>
              <w:spacing w:before="40" w:after="40" w:line="288" w:lineRule="auto"/>
            </w:pPr>
            <w:r/>
            <w:r>
              <w:rPr>
                <w:rFonts w:ascii="Microsoft YaHei" w:hAnsi="Microsoft YaHei"/>
                <w:sz w:val="18"/>
              </w:rPr>
              <w:t>+0.60%</w:t>
            </w:r>
          </w:p>
        </w:tc>
        <w:tc>
          <w:tcPr>
            <w:tcW w:type="dxa" w:w="1813"/>
          </w:tcPr>
          <w:p>
            <w:pPr>
              <w:spacing w:before="40" w:after="40" w:line="288" w:lineRule="auto"/>
            </w:pPr>
            <w:r/>
            <w:r>
              <w:rPr>
                <w:rFonts w:ascii="Microsoft YaHei" w:hAnsi="Microsoft YaHei"/>
                <w:sz w:val="18"/>
              </w:rPr>
              <w:t>偏后</w:t>
            </w:r>
          </w:p>
        </w:tc>
      </w:tr>
    </w:tbl>
    <w:p/>
    <w:p>
      <w:r>
        <w:rPr>
          <w:rFonts w:ascii="Microsoft YaHei" w:hAnsi="Microsoft YaHei"/>
          <w:b/>
          <w:color w:val="1A1A1A"/>
        </w:rPr>
        <w:t>板块关联要点：</w:t>
      </w:r>
    </w:p>
    <w:p>
      <w:pPr>
        <w:pStyle w:val="ListBullet"/>
      </w:pPr>
      <w:r>
        <w:rPr>
          <w:rFonts w:ascii="Microsoft YaHei" w:hAnsi="Microsoft YaHei"/>
        </w:rPr>
        <w:t xml:space="preserve">今日券商板块整体走强，但中信建投涨幅仅 </w:t>
      </w:r>
      <w:r>
        <w:rPr>
          <w:rFonts w:ascii="Microsoft YaHei" w:hAnsi="Microsoft YaHei"/>
          <w:b/>
          <w:color w:val="1A1A1A"/>
        </w:rPr>
        <w:t>0.60%</w:t>
      </w:r>
      <w:r>
        <w:rPr>
          <w:rFonts w:ascii="Microsoft YaHei" w:hAnsi="Microsoft YaHei"/>
        </w:rPr>
        <w:t>，在行业内表现偏弱；</w:t>
      </w:r>
    </w:p>
    <w:p>
      <w:pPr>
        <w:pStyle w:val="ListBullet"/>
      </w:pPr>
      <w:r>
        <w:rPr>
          <w:rFonts w:ascii="Microsoft YaHei" w:hAnsi="Microsoft YaHei"/>
        </w:rPr>
        <w:t xml:space="preserve">领涨同业（广发+5.19%、湘财+4.95%）与中信建投（+0.60%）之间的涨幅差距超过 </w:t>
      </w:r>
      <w:r>
        <w:rPr>
          <w:rFonts w:ascii="Microsoft YaHei" w:hAnsi="Microsoft YaHei"/>
          <w:b/>
          <w:color w:val="1A1A1A"/>
        </w:rPr>
        <w:t>4.5个百分点</w:t>
      </w:r>
      <w:r>
        <w:rPr>
          <w:rFonts w:ascii="Microsoft YaHei" w:hAnsi="Microsoft YaHei"/>
        </w:rPr>
        <w:t>，体现了个股层面的分化；</w:t>
      </w:r>
    </w:p>
    <w:p>
      <w:pPr>
        <w:pStyle w:val="ListBullet"/>
      </w:pPr>
      <w:r>
        <w:rPr>
          <w:rFonts w:ascii="Microsoft YaHei" w:hAnsi="Microsoft YaHei"/>
        </w:rPr>
        <w:t>这种"跟涨不跟涨"的模式，反映出当前资金对中信建投的关注度和买力不及板块内小市值或更具弹性的品种。</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七、综合研判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信号</w:t>
            </w:r>
          </w:p>
        </w:tc>
        <w:tc>
          <w:tcPr>
            <w:tcW w:type="dxa" w:w="3022"/>
            <w:shd w:fill="F6F8FA" w:val="clear"/>
          </w:tcPr>
          <w:p>
            <w:pPr>
              <w:spacing w:before="40" w:after="40" w:line="288" w:lineRule="auto"/>
            </w:pPr>
            <w:r/>
            <w:r>
              <w:rPr>
                <w:rFonts w:ascii="Microsoft YaHei" w:hAnsi="Microsoft YaHei"/>
                <w:b/>
                <w:color w:val="1A1A1A"/>
                <w:sz w:val="18"/>
              </w:rPr>
              <w:t>强度</w:t>
            </w:r>
          </w:p>
        </w:tc>
      </w:tr>
      <w:tr>
        <w:tc>
          <w:tcPr>
            <w:tcW w:type="dxa" w:w="3022"/>
          </w:tcPr>
          <w:p>
            <w:pPr>
              <w:spacing w:before="40" w:after="40" w:line="288" w:lineRule="auto"/>
            </w:pPr>
            <w:r/>
            <w:r>
              <w:rPr>
                <w:rFonts w:ascii="Microsoft YaHei" w:hAnsi="Microsoft YaHei"/>
                <w:sz w:val="18"/>
              </w:rPr>
              <w:t>市场情绪</w:t>
            </w:r>
          </w:p>
        </w:tc>
        <w:tc>
          <w:tcPr>
            <w:tcW w:type="dxa" w:w="3022"/>
          </w:tcPr>
          <w:p>
            <w:pPr>
              <w:spacing w:before="40" w:after="40" w:line="288" w:lineRule="auto"/>
            </w:pPr>
            <w:r/>
            <w:r>
              <w:rPr>
                <w:rFonts w:ascii="Microsoft YaHei" w:hAnsi="Microsoft YaHei"/>
                <w:sz w:val="18"/>
              </w:rPr>
              <w:t>✅ 整体市场热度较高（78%上涨占比）</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个股量价</w:t>
            </w:r>
          </w:p>
        </w:tc>
        <w:tc>
          <w:tcPr>
            <w:tcW w:type="dxa" w:w="3022"/>
            <w:shd w:fill="F8F9FA" w:val="clear"/>
          </w:tcPr>
          <w:p>
            <w:pPr>
              <w:spacing w:before="40" w:after="40" w:line="288" w:lineRule="auto"/>
            </w:pPr>
            <w:r/>
            <w:r>
              <w:rPr>
                <w:rFonts w:ascii="Microsoft YaHei" w:hAnsi="Microsoft YaHei"/>
                <w:sz w:val="18"/>
              </w:rPr>
              <w:t>✅ 温和放量、小幅收涨</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资金面</w:t>
            </w:r>
          </w:p>
        </w:tc>
        <w:tc>
          <w:tcPr>
            <w:tcW w:type="dxa" w:w="3022"/>
          </w:tcPr>
          <w:p>
            <w:pPr>
              <w:spacing w:before="40" w:after="40" w:line="288" w:lineRule="auto"/>
            </w:pPr>
            <w:r/>
            <w:r>
              <w:rPr>
                <w:rFonts w:ascii="Microsoft YaHei" w:hAnsi="Microsoft YaHei"/>
                <w:sz w:val="18"/>
              </w:rPr>
              <w:t>✅ 净流入3,281万元，中单主导</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融资融券</w:t>
            </w:r>
          </w:p>
        </w:tc>
        <w:tc>
          <w:tcPr>
            <w:tcW w:type="dxa" w:w="3022"/>
            <w:shd w:fill="F8F9FA" w:val="clear"/>
          </w:tcPr>
          <w:p>
            <w:pPr>
              <w:spacing w:before="40" w:after="40" w:line="288" w:lineRule="auto"/>
            </w:pPr>
            <w:r/>
            <w:r>
              <w:rPr>
                <w:rFonts w:ascii="Microsoft YaHei" w:hAnsi="Microsoft YaHei"/>
                <w:sz w:val="18"/>
              </w:rPr>
              <w:t>✅ 融券大幅缩减，空头减弱</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技术面</w:t>
            </w:r>
          </w:p>
        </w:tc>
        <w:tc>
          <w:tcPr>
            <w:tcW w:type="dxa" w:w="3022"/>
          </w:tcPr>
          <w:p>
            <w:pPr>
              <w:spacing w:before="40" w:after="40" w:line="288" w:lineRule="auto"/>
            </w:pPr>
            <w:r/>
            <w:r>
              <w:rPr>
                <w:rFonts w:ascii="Microsoft YaHei" w:hAnsi="Microsoft YaHei"/>
                <w:sz w:val="18"/>
              </w:rPr>
              <w:t>⚠️ 站上MA5/MA10，但偏离MA20达-3.5%</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板块比较</w:t>
            </w:r>
          </w:p>
        </w:tc>
        <w:tc>
          <w:tcPr>
            <w:tcW w:type="dxa" w:w="3022"/>
            <w:shd w:fill="F8F9FA" w:val="clear"/>
          </w:tcPr>
          <w:p>
            <w:pPr>
              <w:spacing w:before="40" w:after="40" w:line="288" w:lineRule="auto"/>
            </w:pPr>
            <w:r/>
            <w:r>
              <w:rPr>
                <w:rFonts w:ascii="Microsoft YaHei" w:hAnsi="Microsoft YaHei"/>
                <w:sz w:val="18"/>
              </w:rPr>
              <w:t>⚠️ 显著跑输券商板块均值</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估值水平</w:t>
            </w:r>
          </w:p>
        </w:tc>
        <w:tc>
          <w:tcPr>
            <w:tcW w:type="dxa" w:w="3022"/>
          </w:tcPr>
          <w:p>
            <w:pPr>
              <w:spacing w:before="40" w:after="40" w:line="288" w:lineRule="auto"/>
            </w:pPr>
            <w:r/>
            <w:r>
              <w:rPr>
                <w:rFonts w:ascii="Microsoft YaHei" w:hAnsi="Microsoft YaHei"/>
                <w:sz w:val="18"/>
              </w:rPr>
              <w:t>✅ PE 14.1倍，安全边际尚可</w:t>
            </w:r>
          </w:p>
        </w:tc>
        <w:tc>
          <w:tcPr>
            <w:tcW w:type="dxa" w:w="3022"/>
          </w:tcPr>
          <w:p>
            <w:pPr>
              <w:spacing w:before="40" w:after="40" w:line="288" w:lineRule="auto"/>
            </w:pPr>
            <w:r/>
            <w:r>
              <w:rPr>
                <w:rFonts w:ascii="Microsoft YaHei" w:hAnsi="Microsoft YaHei"/>
                <w:sz w:val="18"/>
              </w:rPr>
              <w:t>★★★</w:t>
            </w:r>
          </w:p>
        </w:tc>
      </w:tr>
    </w:tbl>
    <w:p/>
    <w:p>
      <w:r>
        <w:rPr>
          <w:rFonts w:ascii="Microsoft YaHei" w:hAnsi="Microsoft YaHei"/>
          <w:b/>
          <w:color w:val="1A1A1A"/>
        </w:rPr>
        <w:t>主力观点：</w:t>
      </w:r>
    </w:p>
    <w:p>
      <w:r>
        <w:rPr>
          <w:rFonts w:ascii="Microsoft YaHei" w:hAnsi="Microsoft YaHei"/>
        </w:rPr>
        <w:t>中信建投今日午间呈现</w:t>
      </w:r>
      <w:r>
        <w:rPr>
          <w:rFonts w:ascii="Microsoft YaHei" w:hAnsi="Microsoft YaHei"/>
          <w:b/>
          <w:color w:val="1A1A1A"/>
        </w:rPr>
        <w:t>"温和跟涨、量价配合、但缺乏主动上攻动能"</w:t>
      </w:r>
      <w:r>
        <w:rPr>
          <w:rFonts w:ascii="Microsoft YaHei" w:hAnsi="Microsoft YaHei"/>
        </w:rPr>
        <w:t xml:space="preserve">的格局。短线层面，股价在MA5和MA10附近企稳，资金保持净流入，融券余额大幅缩减，显示空头压力缓解；但中线层面，股价仍低于MA20/布林中轨 </w:t>
      </w:r>
      <w:r>
        <w:rPr>
          <w:rFonts w:ascii="Microsoft YaHei" w:hAnsi="Microsoft YaHei"/>
          <w:b/>
          <w:color w:val="1A1A1A"/>
        </w:rPr>
        <w:t>3.5%</w:t>
      </w:r>
      <w:r>
        <w:rPr>
          <w:rFonts w:ascii="Microsoft YaHei" w:hAnsi="Microsoft YaHei"/>
        </w:rPr>
        <w:t xml:space="preserve">，且在同业大涨背景下仅录得 </w:t>
      </w:r>
      <w:r>
        <w:rPr>
          <w:rFonts w:ascii="Microsoft YaHei" w:hAnsi="Microsoft YaHei"/>
          <w:b/>
          <w:color w:val="1A1A1A"/>
        </w:rPr>
        <w:t>0.60%</w:t>
      </w:r>
      <w:r>
        <w:rPr>
          <w:rFonts w:ascii="Microsoft YaHei" w:hAnsi="Microsoft YaHei"/>
        </w:rPr>
        <w:t xml:space="preserve"> 涨幅，反映资金对该股短期弹性预期不高。</w:t>
      </w:r>
    </w:p>
    <w:p>
      <w:r>
        <w:rPr>
          <w:rFonts w:ascii="Microsoft YaHei" w:hAnsi="Microsoft YaHei"/>
          <w:b/>
          <w:color w:val="1A1A1A"/>
        </w:rPr>
        <w:t>关注要点：</w:t>
      </w:r>
    </w:p>
    <w:p>
      <w:pPr>
        <w:pStyle w:val="ListNumber"/>
      </w:pPr>
      <w:r>
        <w:rPr>
          <w:rFonts w:ascii="Microsoft YaHei" w:hAnsi="Microsoft YaHei"/>
          <w:b/>
          <w:color w:val="1A1A1A"/>
        </w:rPr>
        <w:t>上方27.62元（MA20/布林中轨）</w:t>
      </w:r>
      <w:r>
        <w:rPr>
          <w:rFonts w:ascii="Microsoft YaHei" w:hAnsi="Microsoft YaHei"/>
        </w:rPr>
        <w:t xml:space="preserve"> 是中线转强的关键分水岭，在此之前暂以</w:t>
      </w:r>
      <w:r>
        <w:rPr>
          <w:rFonts w:ascii="Microsoft YaHei" w:hAnsi="Microsoft YaHei"/>
          <w:b/>
          <w:color w:val="1A1A1A"/>
        </w:rPr>
        <w:t>区间震荡</w:t>
      </w:r>
      <w:r>
        <w:rPr>
          <w:rFonts w:ascii="Microsoft YaHei" w:hAnsi="Microsoft YaHei"/>
        </w:rPr>
        <w:t>看待；</w:t>
      </w:r>
    </w:p>
    <w:p>
      <w:pPr>
        <w:pStyle w:val="ListNumber"/>
      </w:pPr>
      <w:r>
        <w:rPr>
          <w:rFonts w:ascii="Microsoft YaHei" w:hAnsi="Microsoft YaHei"/>
        </w:rPr>
        <w:t>若券商板块继续走强，中信建投存在补涨空间，但幅度需观察量能是否有效放大（量比能否回升至1.0以上）；</w:t>
      </w:r>
    </w:p>
    <w:p>
      <w:pPr>
        <w:pStyle w:val="ListNumber"/>
      </w:pPr>
      <w:r>
        <w:rPr>
          <w:rFonts w:ascii="Microsoft YaHei" w:hAnsi="Microsoft YaHei"/>
        </w:rPr>
        <w:t xml:space="preserve">融券余额 </w:t>
      </w:r>
      <w:r>
        <w:rPr>
          <w:rFonts w:ascii="Microsoft YaHei" w:hAnsi="Microsoft YaHei"/>
          <w:b/>
          <w:color w:val="1A1A1A"/>
        </w:rPr>
        <w:t>-22.77%</w:t>
      </w:r>
      <w:r>
        <w:rPr>
          <w:rFonts w:ascii="Microsoft YaHei" w:hAnsi="Microsoft YaHei"/>
        </w:rPr>
        <w:t xml:space="preserve"> 的缩减值得继续跟踪，若持续萎缩，可能预示空头离场、底部逐渐清晰。</w:t>
      </w:r>
    </w:p>
    <w:p>
      <w:r>
        <w:rPr>
          <w:rFonts w:ascii="Microsoft YaHei" w:hAnsi="Microsoft YaHei"/>
        </w:rPr>
        <w:t xml:space="preserve">&gt; </w:t>
      </w:r>
      <w:r>
        <w:rPr>
          <w:rFonts w:ascii="Microsoft YaHei" w:hAnsi="Microsoft YaHei"/>
          <w:b/>
          <w:color w:val="1A1A1A"/>
        </w:rPr>
        <w:t>风险提示</w:t>
      </w:r>
      <w:r>
        <w:rPr>
          <w:rFonts w:ascii="Microsoft YaHei" w:hAnsi="Microsoft YaHei"/>
        </w:rPr>
        <w:t>：以上分析基于盘中数据与公开信息，不构成投资建议。市场有风险，投资需谨慎。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中信建投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