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中国中铁（601390.SH）午间分析报告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今日全市场情绪偏暖。市场热度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，全市场成交额 </w:t>
      </w:r>
      <w:r>
        <w:rPr>
          <w:rFonts w:ascii="Microsoft YaHei" w:hAnsi="Microsoft YaHei"/>
          <w:b/>
          <w:color w:val="1A1A1A"/>
        </w:rPr>
        <w:t>1.48万亿（+1516亿）</w:t>
      </w:r>
      <w:r>
        <w:rPr>
          <w:rFonts w:ascii="Microsoft YaHei" w:hAnsi="Microsoft YaHei"/>
        </w:rPr>
        <w:t xml:space="preserve">，放量明显。上涨个股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1.72:1</w:t>
      </w:r>
      <w:r>
        <w:rPr>
          <w:rFonts w:ascii="Microsoft YaHei" w:hAnsi="Microsoft YaHei"/>
        </w:rPr>
        <w:t xml:space="preserve">，涨停58家、跌停19家。涨幅主要集中在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-4%~-1%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，整体呈普涨格局但赚钱效应中性。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4.43 / 4.55 / 4.43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169.09万手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6.37倍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1111.27亿 / 920.67亿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中国中铁今日低开于 </w:t>
      </w:r>
      <w:r>
        <w:rPr>
          <w:rFonts w:ascii="Microsoft YaHei" w:hAnsi="Microsoft YaHei"/>
          <w:b/>
          <w:color w:val="1A1A1A"/>
        </w:rPr>
        <w:t>4.43元（与昨收持平）</w:t>
      </w:r>
      <w:r>
        <w:rPr>
          <w:rFonts w:ascii="Microsoft YaHei" w:hAnsi="Microsoft YaHei"/>
        </w:rPr>
        <w:t xml:space="preserve">，随后震荡走高，盘中最高触及 </w:t>
      </w:r>
      <w:r>
        <w:rPr>
          <w:rFonts w:ascii="Microsoft YaHei" w:hAnsi="Microsoft YaHei"/>
          <w:b/>
          <w:color w:val="1A1A1A"/>
        </w:rPr>
        <w:t>4.55元</w:t>
      </w:r>
      <w:r>
        <w:rPr>
          <w:rFonts w:ascii="Microsoft YaHei" w:hAnsi="Microsoft YaHei"/>
        </w:rPr>
        <w:t xml:space="preserve">，收盘报 </w:t>
      </w:r>
      <w:r>
        <w:rPr>
          <w:rFonts w:ascii="Microsoft YaHei" w:hAnsi="Microsoft YaHei"/>
          <w:b/>
          <w:color w:val="1A1A1A"/>
        </w:rPr>
        <w:t>4.53元（+2.26%）</w:t>
      </w:r>
      <w:r>
        <w:rPr>
          <w:rFonts w:ascii="Microsoft YaHei" w:hAnsi="Microsoft YaHei"/>
        </w:rPr>
        <w:t>，走出光头阳线，多方占优。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0.83%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0.4088%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2.03倍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显著放量上涨</w:t>
      </w:r>
      <w:r>
        <w:rPr>
          <w:rFonts w:ascii="Microsoft YaHei" w:hAnsi="Microsoft YaHei"/>
        </w:rPr>
        <w:t>，量价配合良好。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1.35</w:t>
      </w:r>
      <w:r>
        <w:rPr>
          <w:rFonts w:ascii="Microsoft YaHei" w:hAnsi="Microsoft YaHei"/>
        </w:rPr>
        <w:t>，说明今日交投活跃度高于近期均值，有增量资金入场迹象。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PE 6.37倍、PB 0.35倍</w:t>
      </w:r>
      <w:r>
        <w:rPr>
          <w:rFonts w:ascii="Microsoft YaHei" w:hAnsi="Microsoft YaHei"/>
        </w:rPr>
        <w:t>，估值处于历史极低区间，具备较高安全边际。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9,951.57万元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2,062.7万元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1,778.6万元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盘中 </w:t>
      </w:r>
      <w:r>
        <w:rPr>
          <w:rFonts w:ascii="Microsoft YaHei" w:hAnsi="Microsoft YaHei"/>
          <w:b/>
          <w:color w:val="1A1A1A"/>
        </w:rPr>
        <w:t>121个统计分钟</w:t>
      </w:r>
      <w:r>
        <w:rPr>
          <w:rFonts w:ascii="Microsoft YaHei" w:hAnsi="Microsoft YaHei"/>
        </w:rPr>
        <w:t xml:space="preserve">中，资金流入 </w:t>
      </w:r>
      <w:r>
        <w:rPr>
          <w:rFonts w:ascii="Microsoft YaHei" w:hAnsi="Microsoft YaHei"/>
          <w:b/>
          <w:color w:val="1A1A1A"/>
        </w:rPr>
        <w:t>88分钟</w:t>
      </w:r>
      <w:r>
        <w:rPr>
          <w:rFonts w:ascii="Microsoft YaHei" w:hAnsi="Microsoft YaHei"/>
        </w:rPr>
        <w:t xml:space="preserve">、流出仅 </w:t>
      </w:r>
      <w:r>
        <w:rPr>
          <w:rFonts w:ascii="Microsoft YaHei" w:hAnsi="Microsoft YaHei"/>
          <w:b/>
          <w:color w:val="1A1A1A"/>
        </w:rPr>
        <w:t>32分钟</w:t>
      </w:r>
      <w:r>
        <w:rPr>
          <w:rFonts w:ascii="Microsoft YaHei" w:hAnsi="Microsoft YaHei"/>
        </w:rPr>
        <w:t xml:space="preserve">，流入/流出分钟比 </w:t>
      </w:r>
      <w:r>
        <w:rPr>
          <w:rFonts w:ascii="Microsoft YaHei" w:hAnsi="Microsoft YaHei"/>
          <w:b/>
          <w:color w:val="1A1A1A"/>
        </w:rPr>
        <w:t>2.75:1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多方资金持续主导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半日净流入近 </w:t>
      </w:r>
      <w:r>
        <w:rPr>
          <w:rFonts w:ascii="Microsoft YaHei" w:hAnsi="Microsoft YaHei"/>
          <w:b/>
          <w:color w:val="1A1A1A"/>
        </w:rPr>
        <w:t>1亿元</w:t>
      </w:r>
      <w:r>
        <w:rPr>
          <w:rFonts w:ascii="Microsoft YaHei" w:hAnsi="Microsoft YaHei"/>
        </w:rPr>
        <w:t>，资金态度明确偏多。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+5,384.83万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5,832.77万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+3,312.49万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7,893.93万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4,581.45万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+1,254.25万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3,393.68万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2,139.43万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+9,951.57万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大单净流入 </w:t>
      </w:r>
      <w:r>
        <w:rPr>
          <w:rFonts w:ascii="Microsoft YaHei" w:hAnsi="Microsoft YaHei"/>
          <w:b/>
          <w:color w:val="1A1A1A"/>
        </w:rPr>
        <w:t>5,384.83万元</w:t>
      </w:r>
      <w:r>
        <w:rPr>
          <w:rFonts w:ascii="Microsoft YaHei" w:hAnsi="Microsoft YaHei"/>
        </w:rPr>
        <w:t>，为当日主力资金，说明</w:t>
      </w:r>
      <w:r>
        <w:rPr>
          <w:rFonts w:ascii="Microsoft YaHei" w:hAnsi="Microsoft YaHei"/>
          <w:b/>
          <w:color w:val="1A1A1A"/>
        </w:rPr>
        <w:t>机构资金已在昨日提前布局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三大类型资金全线净流入，无任何级别资金出现分歧，</w:t>
      </w:r>
      <w:r>
        <w:rPr>
          <w:rFonts w:ascii="Microsoft YaHei" w:hAnsi="Microsoft YaHei"/>
          <w:b/>
          <w:color w:val="1A1A1A"/>
        </w:rPr>
        <w:t>筹码锁定良好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29.34亿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0.06亿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-4.75%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融资余额微降，融券余额明显缩减，</w:t>
      </w:r>
      <w:r>
        <w:rPr>
          <w:rFonts w:ascii="Microsoft YaHei" w:hAnsi="Microsoft YaHei"/>
          <w:b/>
          <w:color w:val="1A1A1A"/>
        </w:rPr>
        <w:t>空头力量在削弱</w:t>
      </w:r>
      <w:r>
        <w:rPr>
          <w:rFonts w:ascii="Microsoft YaHei" w:hAnsi="Microsoft YaHei"/>
        </w:rPr>
        <w:t>，对股价进一步上行有利。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贴平（0.0%）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4.45元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+4.4%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-1.5%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均线多头排列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4.53元</w:t>
      </w:r>
      <w:r>
        <w:rPr>
          <w:rFonts w:ascii="Microsoft YaHei" w:hAnsi="Microsoft YaHei"/>
        </w:rPr>
        <w:t xml:space="preserve"> 远高于MA20（4.34元）和MA10（4.45元），且正好贴平MA5（4.53元），短期均线系统呈多头排列。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布林通道</w:t>
      </w:r>
      <w:r>
        <w:rPr>
          <w:rFonts w:ascii="Microsoft YaHei" w:hAnsi="Microsoft YaHei"/>
        </w:rPr>
        <w:t xml:space="preserve">：股价已运行至布林带上轨（4.60元）附近，距离上轨仅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 空间。布林带上下轨宽度（4.08~4.60）处于正常区间，</w:t>
      </w:r>
      <w:r>
        <w:rPr>
          <w:rFonts w:ascii="Microsoft YaHei" w:hAnsi="Microsoft YaHei"/>
          <w:b/>
          <w:color w:val="1A1A1A"/>
        </w:rPr>
        <w:t>短期存在冲击上轨的技术动能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</w:t>
      </w:r>
      <w:r>
        <w:rPr>
          <w:rFonts w:ascii="Microsoft YaHei" w:hAnsi="Microsoft YaHei"/>
        </w:rPr>
        <w:t xml:space="preserve">：股价高于MA20 </w:t>
      </w:r>
      <w:r>
        <w:rPr>
          <w:rFonts w:ascii="Microsoft YaHei" w:hAnsi="Microsoft YaHei"/>
          <w:b/>
          <w:color w:val="1A1A1A"/>
        </w:rPr>
        <w:t>4.4%</w:t>
      </w:r>
      <w:r>
        <w:rPr>
          <w:rFonts w:ascii="Microsoft YaHei" w:hAnsi="Microsoft YaHei"/>
        </w:rPr>
        <w:t>，偏离度适中，尚未进入超买区域，仍有上行空间。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综合判断</w:t>
      </w:r>
      <w:r>
        <w:rPr>
          <w:rFonts w:ascii="Microsoft YaHei" w:hAnsi="Microsoft YaHei"/>
        </w:rPr>
        <w:t xml:space="preserve">：技术面呈现 </w:t>
      </w:r>
      <w:r>
        <w:rPr>
          <w:rFonts w:ascii="Microsoft YaHei" w:hAnsi="Microsoft YaHei"/>
          <w:b/>
          <w:color w:val="1A1A1A"/>
        </w:rPr>
        <w:t>放量突破、均线支撑、布林开口向上</w:t>
      </w:r>
      <w:r>
        <w:rPr>
          <w:rFonts w:ascii="Microsoft YaHei" w:hAnsi="Microsoft YaHei"/>
        </w:rPr>
        <w:t xml:space="preserve"> 的偏强格局。4.60元（布林上轨）为短期阻力位。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关联新闻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中国建筑：签约科威特北卡巴德污水处理厂及配套项目合同，金额约224亿元</w:t>
      </w:r>
    </w:p>
    <w:p>
      <w:r>
        <w:rPr>
          <w:rFonts w:ascii="Microsoft YaHei" w:hAnsi="Microsoft YaHei"/>
        </w:rPr>
        <w:t>&gt; （来源：财联社 | 时间：2026-07-28 17:23）</w:t>
      </w:r>
    </w:p>
    <w:p>
      <w:pPr>
        <w:pStyle w:val="ListBullet"/>
      </w:pPr>
      <w:r>
        <w:rPr>
          <w:rFonts w:ascii="Microsoft YaHei" w:hAnsi="Microsoft YaHei"/>
        </w:rPr>
        <w:t xml:space="preserve">虽然为中国建筑（601668.SH）的公告，但中国中铁与中国建筑同属 </w:t>
      </w:r>
      <w:r>
        <w:rPr>
          <w:rFonts w:ascii="Microsoft YaHei" w:hAnsi="Microsoft YaHei"/>
          <w:b/>
          <w:color w:val="1A1A1A"/>
        </w:rPr>
        <w:t>建筑与工程行业央企龙头</w:t>
      </w:r>
      <w:r>
        <w:rPr>
          <w:rFonts w:ascii="Microsoft YaHei" w:hAnsi="Microsoft YaHei"/>
        </w:rPr>
        <w:t>，海外大型项目中标对板块情绪有正面示范效应。</w:t>
      </w:r>
    </w:p>
    <w:p>
      <w:pPr>
        <w:pStyle w:val="ListBullet"/>
      </w:pPr>
      <w:r>
        <w:rPr>
          <w:rFonts w:ascii="Microsoft YaHei" w:hAnsi="Microsoft YaHei"/>
        </w:rPr>
        <w:t xml:space="preserve">该合同采用 </w:t>
      </w:r>
      <w:r>
        <w:rPr>
          <w:rFonts w:ascii="Microsoft YaHei" w:hAnsi="Microsoft YaHei"/>
          <w:b/>
          <w:color w:val="1A1A1A"/>
        </w:rPr>
        <w:t>EPC+OM模式</w:t>
      </w:r>
      <w:r>
        <w:rPr>
          <w:rFonts w:ascii="Microsoft YaHei" w:hAnsi="Microsoft YaHei"/>
        </w:rPr>
        <w:t>，建设期5年、维保和运营期5年，体现中国企业在中东市场的持续拓展能力。</w:t>
      </w:r>
    </w:p>
    <w:p>
      <w:pPr>
        <w:pStyle w:val="ListBullet"/>
      </w:pPr>
      <w:r>
        <w:rPr>
          <w:rFonts w:ascii="Microsoft YaHei" w:hAnsi="Microsoft YaHei"/>
        </w:rPr>
        <w:t xml:space="preserve">对基建板块具有一定 </w:t>
      </w:r>
      <w:r>
        <w:rPr>
          <w:rFonts w:ascii="Microsoft YaHei" w:hAnsi="Microsoft YaHei"/>
          <w:b/>
          <w:color w:val="1A1A1A"/>
        </w:rPr>
        <w:t>联动催化作用</w:t>
      </w:r>
      <w:r>
        <w:rPr>
          <w:rFonts w:ascii="Microsoft YaHei" w:hAnsi="Microsoft YaHei"/>
        </w:rPr>
        <w:t>，中国中铁作为行业龙头有望间接受益于板块关注度提升。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板块内表现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建筑与工程Ⅲ(A股)</w:t>
      </w:r>
      <w:r>
        <w:rPr>
          <w:rFonts w:ascii="Microsoft YaHei" w:hAnsi="Microsoft YaHei"/>
        </w:rPr>
        <w:t xml:space="preserve"> 板块指数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，排名 </w:t>
      </w:r>
      <w:r>
        <w:rPr>
          <w:rFonts w:ascii="Microsoft YaHei" w:hAnsi="Microsoft YaHei"/>
          <w:b/>
          <w:color w:val="1A1A1A"/>
        </w:rPr>
        <w:t>802/1158</w:t>
      </w:r>
      <w:r>
        <w:rPr>
          <w:rFonts w:ascii="Microsoft YaHei" w:hAnsi="Microsoft YaHei"/>
        </w:rPr>
        <w:t>，整体偏弱。</w:t>
      </w:r>
    </w:p>
    <w:p>
      <w:pPr>
        <w:pStyle w:val="ListBullet"/>
      </w:pPr>
      <w:r>
        <w:rPr>
          <w:rFonts w:ascii="Microsoft YaHei" w:hAnsi="Microsoft YaHei"/>
        </w:rPr>
        <w:t xml:space="preserve">但中国中铁在该板块中排名 </w:t>
      </w:r>
      <w:r>
        <w:rPr>
          <w:rFonts w:ascii="Microsoft YaHei" w:hAnsi="Microsoft YaHei"/>
          <w:b/>
          <w:color w:val="1A1A1A"/>
        </w:rPr>
        <w:t>11/108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显著跑赢板块内90%的个股</w:t>
      </w:r>
      <w:r>
        <w:rPr>
          <w:rFonts w:ascii="Microsoft YaHei" w:hAnsi="Microsoft YaHei"/>
        </w:rPr>
        <w:t>，体现出强势股特征。</w:t>
      </w:r>
    </w:p>
    <w:p>
      <w:pPr>
        <w:pStyle w:val="ListBullet"/>
      </w:pPr>
      <w:r>
        <w:rPr>
          <w:rFonts w:ascii="Microsoft YaHei" w:hAnsi="Microsoft YaHei"/>
        </w:rPr>
        <w:t>板块内领涨个股包括：*ST中岩（+9.85%）、中油工程（+5.05%）、四川路桥（+4.37%），均为基建类标的，形成一定板块内合力。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104/197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125/744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11/108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92/892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133/1209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中国中铁在 </w:t>
      </w:r>
      <w:r>
        <w:rPr>
          <w:rFonts w:ascii="Microsoft YaHei" w:hAnsi="Microsoft YaHei"/>
          <w:b/>
          <w:color w:val="1A1A1A"/>
        </w:rPr>
        <w:t>沪深300（+1.57%）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上证180（+1.79%）</w:t>
      </w:r>
      <w:r>
        <w:rPr>
          <w:rFonts w:ascii="Microsoft YaHei" w:hAnsi="Microsoft YaHei"/>
        </w:rPr>
        <w:t xml:space="preserve"> 两大权重板块中均有不俗表现，受益于大盘蓝筹风格。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建筑与工程</w:t>
      </w:r>
      <w:r>
        <w:rPr>
          <w:rFonts w:ascii="Microsoft YaHei" w:hAnsi="Microsoft YaHei"/>
        </w:rPr>
        <w:t xml:space="preserve"> 细分板块中排名第 </w:t>
      </w:r>
      <w:r>
        <w:rPr>
          <w:rFonts w:ascii="Microsoft YaHei" w:hAnsi="Microsoft YaHei"/>
          <w:b/>
          <w:color w:val="1A1A1A"/>
        </w:rPr>
        <w:t>11/108</w:t>
      </w:r>
      <w:r>
        <w:rPr>
          <w:rFonts w:ascii="Microsoft YaHei" w:hAnsi="Microsoft YaHei"/>
        </w:rPr>
        <w:t>，为板块领涨梯队成员。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一带一路</w:t>
      </w:r>
      <w:r>
        <w:rPr>
          <w:rFonts w:ascii="Microsoft YaHei" w:hAnsi="Microsoft YaHei"/>
        </w:rPr>
        <w:t xml:space="preserve"> 板块整体回调 </w:t>
      </w:r>
      <w:r>
        <w:rPr>
          <w:rFonts w:ascii="Microsoft YaHei" w:hAnsi="Microsoft YaHei"/>
          <w:b/>
          <w:color w:val="1A1A1A"/>
        </w:rPr>
        <w:t>-1.64%</w:t>
      </w:r>
      <w:r>
        <w:rPr>
          <w:rFonts w:ascii="Microsoft YaHei" w:hAnsi="Microsoft YaHei"/>
        </w:rPr>
        <w:t xml:space="preserve">，但该股逆势上涨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>，体现个股独立强势。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观点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2.03倍</w:t>
            </w:r>
            <w:r>
              <w:rPr>
                <w:rFonts w:ascii="Microsoft YaHei" w:hAnsi="Microsoft YaHei"/>
                <w:sz w:val="18"/>
              </w:rPr>
              <w:t xml:space="preserve"> 上涨，量价配合健康，增量资金入场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半日净流入近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1亿元</w:t>
            </w:r>
            <w:r>
              <w:rPr>
                <w:rFonts w:ascii="Microsoft YaHei" w:hAnsi="Microsoft YaHei"/>
                <w:sz w:val="18"/>
              </w:rPr>
              <w:t>，大单主导，资金持续性良好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均线多头排列，逼近布林上轨4.60元，短期偏强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6.37倍</w:t>
            </w:r>
            <w:r>
              <w:rPr>
                <w:rFonts w:ascii="Microsoft YaHei" w:hAnsi="Microsoft YaHei"/>
                <w:sz w:val="18"/>
              </w:rPr>
              <w:t xml:space="preserve">、PB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0.35倍</w:t>
            </w:r>
            <w:r>
              <w:rPr>
                <w:rFonts w:ascii="Microsoft YaHei" w:hAnsi="Microsoft YaHei"/>
                <w:sz w:val="18"/>
              </w:rPr>
              <w:t>，处于历史极低区间，安全边际充足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建筑板块整体偏弱，但该股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强势领涨</w:t>
            </w:r>
            <w:r>
              <w:rPr>
                <w:rFonts w:ascii="Microsoft YaHei" w:hAnsi="Microsoft YaHei"/>
                <w:sz w:val="18"/>
              </w:rPr>
              <w:t>，走出独立行情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情绪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大盘人气较高，蓝筹风格占优，对该股形成外部利好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中国中铁今日午间呈现 </w:t>
      </w:r>
      <w:r>
        <w:rPr>
          <w:rFonts w:ascii="Microsoft YaHei" w:hAnsi="Microsoft YaHei"/>
          <w:b/>
          <w:color w:val="1A1A1A"/>
        </w:rPr>
        <w:t>量价齐升、资金净流入、技术突破</w:t>
      </w:r>
      <w:r>
        <w:rPr>
          <w:rFonts w:ascii="Microsoft YaHei" w:hAnsi="Microsoft YaHei"/>
        </w:rPr>
        <w:t xml:space="preserve"> 的三重共振格局。在建筑板块整体低迷（-2.93%）的背景下，该股逆势上涨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，并放量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，显示出较强的</w:t>
      </w:r>
      <w:r>
        <w:rPr>
          <w:rFonts w:ascii="Microsoft YaHei" w:hAnsi="Microsoft YaHei"/>
          <w:b/>
          <w:color w:val="1A1A1A"/>
        </w:rPr>
        <w:t>独立强势特征</w:t>
      </w:r>
      <w:r>
        <w:rPr>
          <w:rFonts w:ascii="Microsoft YaHei" w:hAnsi="Microsoft YaHei"/>
        </w:rPr>
        <w:t>。低估值（PB仅0.35倍）提供安全垫，大单资金持续流入表明机构关注度提升。</w:t>
      </w:r>
      <w:r>
        <w:rPr>
          <w:rFonts w:ascii="Microsoft YaHei" w:hAnsi="Microsoft YaHei"/>
          <w:b/>
          <w:color w:val="1A1A1A"/>
        </w:rPr>
        <w:t>短期关注布林上轨4.60元的突破情况</w:t>
      </w:r>
      <w:r>
        <w:rPr>
          <w:rFonts w:ascii="Microsoft YaHei" w:hAnsi="Microsoft YaHei"/>
        </w:rPr>
        <w:t>，若放量站稳，有望打开上行空间。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本文基于公开数据进行分析，不构成投资建议。股市有风险，投资需谨慎。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中国中铁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