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中国交建（601800.SH）午间分析报告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上涨家数3431只</w:t>
      </w:r>
      <w:r>
        <w:rPr>
          <w:rFonts w:ascii="Microsoft YaHei" w:hAnsi="Microsoft YaHei"/>
        </w:rPr>
        <w:t xml:space="preserve">，下跌2000只，涨停58只，跌停19只，市场热度指数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。成交额达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，较昨日放量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，增量资金入场迹象明显。涨幅集中分布在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，整体氛围偏积极。</w:t>
      </w:r>
    </w:p>
    <w:p>
      <w:r>
        <w:rPr>
          <w:rFonts w:ascii="Microsoft YaHei" w:hAnsi="Microsoft YaHei"/>
        </w:rPr>
        <w:t xml:space="preserve">值得注意的是，建筑与工程板块（Ⅲ/Ⅳ）整体下跌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，在1158个板块中排名靠后（第802位），但中国交建逆势录得 </w:t>
      </w:r>
      <w:r>
        <w:rPr>
          <w:rFonts w:ascii="Microsoft YaHei" w:hAnsi="Microsoft YaHei"/>
          <w:b/>
          <w:color w:val="1A1A1A"/>
        </w:rPr>
        <w:t>+2.80%</w:t>
      </w:r>
      <w:r>
        <w:rPr>
          <w:rFonts w:ascii="Microsoft YaHei" w:hAnsi="Microsoft YaHei"/>
        </w:rPr>
        <w:t xml:space="preserve">，在板块108只成分股中排名 </w:t>
      </w:r>
      <w:r>
        <w:rPr>
          <w:rFonts w:ascii="Microsoft YaHei" w:hAnsi="Microsoft YaHei"/>
          <w:b/>
          <w:color w:val="1A1A1A"/>
        </w:rPr>
        <w:t>第7位</w:t>
      </w:r>
      <w:r>
        <w:rPr>
          <w:rFonts w:ascii="Microsoft YaHei" w:hAnsi="Microsoft YaHei"/>
        </w:rPr>
        <w:t>，展现出显著的相对强势。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6.24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6.07 / 6.09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6.25 / 6.08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678,246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41,984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6.17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0.35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1,011.74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731.51 亿元</w:t>
            </w:r>
          </w:p>
        </w:tc>
      </w:tr>
    </w:tbl>
    <w:p/>
    <w:p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0.58%</w:t>
      </w:r>
      <w:r>
        <w:rPr>
          <w:rFonts w:ascii="Microsoft YaHei" w:hAnsi="Microsoft YaHei"/>
        </w:rPr>
        <w:t xml:space="preserve">，较上一交易日全天换手率 </w:t>
      </w:r>
      <w:r>
        <w:rPr>
          <w:rFonts w:ascii="Microsoft YaHei" w:hAnsi="Microsoft YaHei"/>
          <w:b/>
          <w:color w:val="1A1A1A"/>
        </w:rPr>
        <w:t>0.22%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2.61倍</w:t>
      </w:r>
      <w:r>
        <w:rPr>
          <w:rFonts w:ascii="Microsoft YaHei" w:hAnsi="Microsoft YaHei"/>
        </w:rPr>
        <w:t xml:space="preserve">，放量特征明显。量比 </w:t>
      </w:r>
      <w:r>
        <w:rPr>
          <w:rFonts w:ascii="Microsoft YaHei" w:hAnsi="Microsoft YaHei"/>
          <w:b/>
          <w:color w:val="1A1A1A"/>
        </w:rPr>
        <w:t>1.71</w:t>
      </w:r>
      <w:r>
        <w:rPr>
          <w:rFonts w:ascii="Microsoft YaHei" w:hAnsi="Microsoft YaHei"/>
        </w:rPr>
        <w:t xml:space="preserve"> 进一步确认了交投活跃度的提升。股价全天运行区间为6.08~6.25，振幅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>，高低点价差0.17元，波动适中。</w:t>
      </w:r>
      <w:r>
        <w:rPr>
          <w:rFonts w:ascii="Microsoft YaHei" w:hAnsi="Microsoft YaHei"/>
          <w:b/>
          <w:color w:val="1A1A1A"/>
        </w:rPr>
        <w:t>外盘39.75万手 vs 内盘28.08万手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58.6%</w:t>
      </w:r>
      <w:r>
        <w:rPr>
          <w:rFonts w:ascii="Microsoft YaHei" w:hAnsi="Microsoft YaHei"/>
        </w:rPr>
        <w:t>，主动性买盘占据优势。</w:t>
      </w:r>
    </w:p>
    <w:p>
      <w:r>
        <w:rPr>
          <w:rFonts w:ascii="Microsoft YaHei" w:hAnsi="Microsoft YaHei"/>
        </w:rPr>
        <w:t xml:space="preserve">估值角度，动态PE仅 </w:t>
      </w:r>
      <w:r>
        <w:rPr>
          <w:rFonts w:ascii="Microsoft YaHei" w:hAnsi="Microsoft YaHei"/>
          <w:b/>
          <w:color w:val="1A1A1A"/>
        </w:rPr>
        <w:t>6.17倍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0.35倍</w:t>
      </w:r>
      <w:r>
        <w:rPr>
          <w:rFonts w:ascii="Microsoft YaHei" w:hAnsi="Microsoft YaHei"/>
        </w:rPr>
        <w:t>，处于深度破净状态，具备较高的安全边际。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主力资金流向</w:t>
      </w:r>
    </w:p>
    <w:p>
      <w:r>
        <w:rPr>
          <w:rFonts w:ascii="Microsoft YaHei" w:hAnsi="Microsoft YaHei"/>
        </w:rPr>
        <w:t xml:space="preserve">今日午间累计净流入 </w:t>
      </w:r>
      <w:r>
        <w:rPr>
          <w:rFonts w:ascii="Microsoft YaHei" w:hAnsi="Microsoft YaHei"/>
          <w:b/>
          <w:color w:val="1A1A1A"/>
        </w:rPr>
        <w:t>6,325.32万元</w:t>
      </w:r>
      <w:r>
        <w:rPr>
          <w:rFonts w:ascii="Microsoft YaHei" w:hAnsi="Microsoft YaHei"/>
        </w:rPr>
        <w:t>，统计的121分钟中，</w:t>
      </w:r>
      <w:r>
        <w:rPr>
          <w:rFonts w:ascii="Microsoft YaHei" w:hAnsi="Microsoft YaHei"/>
          <w:b/>
          <w:color w:val="1A1A1A"/>
        </w:rPr>
        <w:t>流入77分钟 / 流出43分钟</w:t>
      </w:r>
      <w:r>
        <w:rPr>
          <w:rFonts w:ascii="Microsoft YaHei" w:hAnsi="Microsoft YaHei"/>
        </w:rPr>
        <w:t xml:space="preserve">，净流入时间占比达 </w:t>
      </w:r>
      <w:r>
        <w:rPr>
          <w:rFonts w:ascii="Microsoft YaHei" w:hAnsi="Microsoft YaHei"/>
          <w:b/>
          <w:color w:val="1A1A1A"/>
        </w:rPr>
        <w:t>63.6%</w:t>
      </w:r>
      <w:r>
        <w:rPr>
          <w:rFonts w:ascii="Microsoft YaHei" w:hAnsi="Microsoft YaHei"/>
        </w:rPr>
        <w:t xml:space="preserve">。最大单分钟流入 </w:t>
      </w:r>
      <w:r>
        <w:rPr>
          <w:rFonts w:ascii="Microsoft YaHei" w:hAnsi="Microsoft YaHei"/>
          <w:b/>
          <w:color w:val="1A1A1A"/>
        </w:rPr>
        <w:t>1,218.5万元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494.1万元</w:t>
      </w:r>
      <w:r>
        <w:rPr>
          <w:rFonts w:ascii="Microsoft YaHei" w:hAnsi="Microsoft YaHei"/>
        </w:rPr>
        <w:t>，流入脉冲力度远超流出。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+3,800.50万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6,692.08万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2,891.58万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+2,063.47万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4,693.14万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2,629.67万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+461.36万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1,535.82万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1,074.46万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+6,325.32万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三大资金维度全线净流入，</w:t>
      </w:r>
      <w:r>
        <w:rPr>
          <w:rFonts w:ascii="Microsoft YaHei" w:hAnsi="Microsoft YaHei"/>
          <w:b/>
          <w:color w:val="1A1A1A"/>
        </w:rPr>
        <w:t>大单净额占比最高（60%）</w:t>
      </w:r>
      <w:r>
        <w:rPr>
          <w:rFonts w:ascii="Microsoft YaHei" w:hAnsi="Microsoft YaHei"/>
        </w:rPr>
        <w:t>，表明机构资金是今日推动股价上行的核心力量。中单净流入也超过2000万，中小资金跟随意愿较强。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12.61亿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-0.79%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0.03亿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-1.31%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融资余额小幅回落，融券余额极低（仅300万），做空力量薄弱。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6.16元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突破站稳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6.05元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远离支撑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5.91元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强势运行</w:t>
            </w:r>
          </w:p>
        </w:tc>
      </w:tr>
    </w:tbl>
    <w:p/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6.24元</w:t>
      </w:r>
      <w:r>
        <w:rPr>
          <w:rFonts w:ascii="Microsoft YaHei" w:hAnsi="Microsoft YaHei"/>
        </w:rPr>
        <w:t xml:space="preserve"> 站稳所有短期均线上方，且与MA20（中轨）偏离度达 </w:t>
      </w:r>
      <w:r>
        <w:rPr>
          <w:rFonts w:ascii="Microsoft YaHei" w:hAnsi="Microsoft YaHei"/>
          <w:b/>
          <w:color w:val="1A1A1A"/>
        </w:rPr>
        <w:t>+5.6%</w:t>
      </w:r>
      <w:r>
        <w:rPr>
          <w:rFonts w:ascii="Microsoft YaHei" w:hAnsi="Microsoft YaHei"/>
        </w:rPr>
        <w:t>，呈多头排列。MA5（6.16元）构成短线第一支撑。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6.25元</w:t>
      </w:r>
    </w:p>
    <w:p>
      <w:pPr>
        <w:pStyle w:val="ListBullet"/>
      </w:pPr>
      <w:r>
        <w:rPr>
          <w:rFonts w:ascii="Microsoft YaHei" w:hAnsi="Microsoft YaHei"/>
        </w:rPr>
        <w:t>下轨：</w:t>
      </w:r>
      <w:r>
        <w:rPr>
          <w:rFonts w:ascii="Microsoft YaHei" w:hAnsi="Microsoft YaHei"/>
          <w:b/>
          <w:color w:val="1A1A1A"/>
        </w:rPr>
        <w:t>5.57元</w:t>
      </w:r>
    </w:p>
    <w:p>
      <w:pPr>
        <w:pStyle w:val="ListBullet"/>
      </w:pPr>
      <w:r>
        <w:rPr>
          <w:rFonts w:ascii="Microsoft YaHei" w:hAnsi="Microsoft YaHei"/>
        </w:rPr>
        <w:t>中轨：5.91元</w:t>
      </w:r>
    </w:p>
    <w:p>
      <w:r>
        <w:rPr>
          <w:rFonts w:ascii="Microsoft YaHei" w:hAnsi="Microsoft YaHei"/>
        </w:rPr>
        <w:t xml:space="preserve">午间收盘价 </w:t>
      </w:r>
      <w:r>
        <w:rPr>
          <w:rFonts w:ascii="Microsoft YaHei" w:hAnsi="Microsoft YaHei"/>
          <w:b/>
          <w:color w:val="1A1A1A"/>
        </w:rPr>
        <w:t>6.24元</w:t>
      </w:r>
      <w:r>
        <w:rPr>
          <w:rFonts w:ascii="Microsoft YaHei" w:hAnsi="Microsoft YaHei"/>
        </w:rPr>
        <w:t xml:space="preserve"> 紧贴布林带上轨 </w:t>
      </w:r>
      <w:r>
        <w:rPr>
          <w:rFonts w:ascii="Microsoft YaHei" w:hAnsi="Microsoft YaHei"/>
          <w:b/>
          <w:color w:val="1A1A1A"/>
        </w:rPr>
        <w:t>6.25元</w:t>
      </w:r>
      <w:r>
        <w:rPr>
          <w:rFonts w:ascii="Microsoft YaHei" w:hAnsi="Microsoft YaHei"/>
        </w:rPr>
        <w:t xml:space="preserve">，仅差 </w:t>
      </w:r>
      <w:r>
        <w:rPr>
          <w:rFonts w:ascii="Microsoft YaHei" w:hAnsi="Microsoft YaHei"/>
          <w:b/>
          <w:color w:val="1A1A1A"/>
        </w:rPr>
        <w:t>0.01元（0.16%）</w:t>
      </w:r>
      <w:r>
        <w:rPr>
          <w:rFonts w:ascii="Microsoft YaHei" w:hAnsi="Microsoft YaHei"/>
        </w:rPr>
        <w:t>，短期股价处于布林带上轨附近，技术上存在一定的超买压力，但尚未触及极端偏离。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今日快讯中有一条与中国建筑（601668.SH）相关的重要新闻：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中国建筑签约科威特北卡巴德污水处理厂及配套项目，合同金额约224亿元</w:t>
      </w:r>
      <w:r>
        <w:rPr>
          <w:rFonts w:ascii="Microsoft YaHei" w:hAnsi="Microsoft YaHei"/>
        </w:rPr>
        <w:t>，采用EPC+OM模式，建设期5年，维保和运营期5年。</w:t>
      </w:r>
    </w:p>
    <w:p>
      <w:r>
        <w:rPr>
          <w:rFonts w:ascii="Microsoft YaHei" w:hAnsi="Microsoft YaHei"/>
        </w:rPr>
        <w:t xml:space="preserve">虽然该消息属于中国建筑（同行业竞争对手），但作为中国交建的同行业央企对手，此类大型海外工程合同的落地，反映出 </w:t>
      </w:r>
      <w:r>
        <w:rPr>
          <w:rFonts w:ascii="Microsoft YaHei" w:hAnsi="Microsoft YaHei"/>
          <w:b/>
          <w:color w:val="1A1A1A"/>
        </w:rPr>
        <w:t>"一带一路"沿线基建工程需求正在释放</w:t>
      </w:r>
      <w:r>
        <w:rPr>
          <w:rFonts w:ascii="Microsoft YaHei" w:hAnsi="Microsoft YaHei"/>
        </w:rPr>
        <w:t>，对整个建筑央企板块具有情绪上的正向催化。叠加近期中央层面持续加码基建投资的政策预期，建筑蓝筹的关注度有所提升。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7/108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100/1209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96/744</w:t>
            </w:r>
          </w:p>
        </w:tc>
      </w:tr>
    </w:tbl>
    <w:p/>
    <w:p>
      <w:r>
        <w:rPr>
          <w:rFonts w:ascii="Microsoft YaHei" w:hAnsi="Microsoft YaHei"/>
        </w:rPr>
        <w:t>关键洞察：</w:t>
      </w:r>
      <w:r>
        <w:rPr>
          <w:rFonts w:ascii="Microsoft YaHei" w:hAnsi="Microsoft YaHei"/>
          <w:b/>
          <w:color w:val="1A1A1A"/>
        </w:rPr>
        <w:t>建筑与工程板块整体大跌-2.93%</w:t>
      </w:r>
      <w:r>
        <w:rPr>
          <w:rFonts w:ascii="Microsoft YaHei" w:hAnsi="Microsoft YaHei"/>
        </w:rPr>
        <w:t xml:space="preserve">，而中国交建逆势上涨 </w:t>
      </w:r>
      <w:r>
        <w:rPr>
          <w:rFonts w:ascii="Microsoft YaHei" w:hAnsi="Microsoft YaHei"/>
          <w:b/>
          <w:color w:val="1A1A1A"/>
        </w:rPr>
        <w:t>+2.80%</w:t>
      </w:r>
      <w:r>
        <w:rPr>
          <w:rFonts w:ascii="Microsoft YaHei" w:hAnsi="Microsoft YaHei"/>
        </w:rPr>
        <w:t xml:space="preserve">，在板块108只个股中排名 </w:t>
      </w:r>
      <w:r>
        <w:rPr>
          <w:rFonts w:ascii="Microsoft YaHei" w:hAnsi="Microsoft YaHei"/>
          <w:b/>
          <w:color w:val="1A1A1A"/>
        </w:rPr>
        <w:t>第7位</w:t>
      </w:r>
      <w:r>
        <w:rPr>
          <w:rFonts w:ascii="Microsoft YaHei" w:hAnsi="Microsoft YaHei"/>
        </w:rPr>
        <w:t xml:space="preserve">。板块内领涨个股以中字头央企为主（四川路桥+4.37%、中国化学+3.09%、中交设计+2.88%），显示资金在建筑板块内部进行 </w:t>
      </w:r>
      <w:r>
        <w:rPr>
          <w:rFonts w:ascii="Microsoft YaHei" w:hAnsi="Microsoft YaHei"/>
          <w:b/>
          <w:color w:val="1A1A1A"/>
        </w:rPr>
        <w:t>"向龙头央企集中"</w:t>
      </w:r>
      <w:r>
        <w:rPr>
          <w:rFonts w:ascii="Microsoft YaHei" w:hAnsi="Microsoft YaHei"/>
        </w:rPr>
        <w:t xml:space="preserve"> 的结构性调仓，中国交建是核心受益标的之一。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主力观点：★★★★☆ （偏多）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：今日放量 </w:t>
      </w:r>
      <w:r>
        <w:rPr>
          <w:rFonts w:ascii="Microsoft YaHei" w:hAnsi="Microsoft YaHei"/>
          <w:b/>
          <w:color w:val="1A1A1A"/>
        </w:rPr>
        <w:t>2.61倍</w:t>
      </w:r>
      <w:r>
        <w:rPr>
          <w:rFonts w:ascii="Microsoft YaHei" w:hAnsi="Microsoft YaHei"/>
        </w:rPr>
        <w:t xml:space="preserve"> 上涨 +2.80%，量价齐升形态健康；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资金面强势</w:t>
      </w:r>
      <w:r>
        <w:rPr>
          <w:rFonts w:ascii="Microsoft YaHei" w:hAnsi="Microsoft YaHei"/>
        </w:rPr>
        <w:t>：半日净流入超6300万元，大单资金主导，外盘大于内盘；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板块内强势领涨</w:t>
      </w:r>
      <w:r>
        <w:rPr>
          <w:rFonts w:ascii="Microsoft YaHei" w:hAnsi="Microsoft YaHei"/>
        </w:rPr>
        <w:t>：在建筑与工程板块整体-2.93%的背景下逆势大涨，资金聚焦效应明显；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低估值安全垫厚</w:t>
      </w:r>
      <w:r>
        <w:rPr>
          <w:rFonts w:ascii="Microsoft YaHei" w:hAnsi="Microsoft YaHei"/>
        </w:rPr>
        <w:t>：PE仅6.17倍、PB仅0.35倍，深度破净，下行风险有限；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技术面上轨承压</w:t>
      </w:r>
      <w:r>
        <w:rPr>
          <w:rFonts w:ascii="Microsoft YaHei" w:hAnsi="Microsoft YaHei"/>
        </w:rPr>
        <w:t>：股价已贴近布林带上轨6.25元，短期或面临技术性震荡整固。</w:t>
      </w:r>
    </w:p>
    <w:p>
      <w:r>
        <w:rPr>
          <w:rFonts w:ascii="Microsoft YaHei" w:hAnsi="Microsoft YaHei"/>
          <w:b/>
          <w:color w:val="1A1A1A"/>
        </w:rPr>
        <w:t>短期策略</w:t>
      </w:r>
      <w:r>
        <w:rPr>
          <w:rFonts w:ascii="Microsoft YaHei" w:hAnsi="Microsoft YaHei"/>
        </w:rPr>
        <w:t>：6.16元（MA5）为短线支撑位，若能放量突破并站稳布林带上轨6.25元，上方空间有望打开；若受阻回落，关注6.05~6.16元区间的低吸机会。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：以上分析基于午间数据，不构成投资建议。建筑板块整体承压，个股逆势走强的持续性需观察午后资金跟进力度。投资有风险，入市须谨慎。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中国交建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