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88" w:lineRule="auto"/>
        <w:pBdr>
          <w:bottom w:val="single" w:sz="4" w:space="4" w:color="D0D7DE"/>
        </w:pBdr>
      </w:pPr>
      <w:r>
        <w:rPr>
          <w:rFonts w:ascii="Microsoft YaHei" w:hAnsi="Microsoft YaHei"/>
          <w:b/>
          <w:color w:val="1A1A1A"/>
          <w:sz w:val="36"/>
        </w:rPr>
        <w:t>中国建筑（601668.SH）午间分析报告</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 xml:space="preserve">今日全市场情绪偏暖，上涨占比 </w:t>
      </w:r>
      <w:r>
        <w:rPr>
          <w:rFonts w:ascii="Microsoft YaHei" w:hAnsi="Microsoft YaHei"/>
          <w:b/>
          <w:color w:val="1A1A1A"/>
        </w:rPr>
        <w:t>78%</w:t>
      </w:r>
      <w:r>
        <w:rPr>
          <w:rFonts w:ascii="Microsoft YaHei" w:hAnsi="Microsoft YaHei"/>
        </w:rPr>
        <w:t xml:space="preserve">，涨跌比为 </w:t>
      </w:r>
      <w:r>
        <w:rPr>
          <w:rFonts w:ascii="Microsoft YaHei" w:hAnsi="Microsoft YaHei"/>
          <w:b/>
          <w:color w:val="1A1A1A"/>
        </w:rPr>
        <w:t>3431:2000</w:t>
      </w:r>
      <w:r>
        <w:rPr>
          <w:rFonts w:ascii="Microsoft YaHei" w:hAnsi="Microsoft YaHei"/>
        </w:rPr>
        <w:t xml:space="preserve">，涨停58家、跌停19家。市场热度评分 </w:t>
      </w:r>
      <w:r>
        <w:rPr>
          <w:rFonts w:ascii="Microsoft YaHei" w:hAnsi="Microsoft YaHei"/>
          <w:b/>
          <w:color w:val="1A1A1A"/>
        </w:rPr>
        <w:t>57（高）</w:t>
      </w:r>
      <w:r>
        <w:rPr>
          <w:rFonts w:ascii="Microsoft YaHei" w:hAnsi="Microsoft YaHei"/>
        </w:rPr>
        <w:t xml:space="preserve">，但赚钱效应仅为 </w:t>
      </w:r>
      <w:r>
        <w:rPr>
          <w:rFonts w:ascii="Microsoft YaHei" w:hAnsi="Microsoft YaHei"/>
          <w:b/>
          <w:color w:val="1A1A1A"/>
        </w:rPr>
        <w:t>46%</w:t>
      </w:r>
      <w:r>
        <w:rPr>
          <w:rFonts w:ascii="Microsoft YaHei" w:hAnsi="Microsoft YaHei"/>
        </w:rPr>
        <w:t>，显示涨幅分布较为集中。</w:t>
      </w:r>
    </w:p>
    <w:p>
      <w:r>
        <w:rPr>
          <w:rFonts w:ascii="Microsoft YaHei" w:hAnsi="Microsoft YaHei"/>
        </w:rPr>
        <w:t xml:space="preserve">中国建筑所属的 </w:t>
      </w:r>
      <w:r>
        <w:rPr>
          <w:rFonts w:ascii="Microsoft YaHei" w:hAnsi="Microsoft YaHei"/>
          <w:b/>
          <w:color w:val="1A1A1A"/>
        </w:rPr>
        <w:t>建筑与工程Ⅲ</w:t>
      </w:r>
      <w:r>
        <w:rPr>
          <w:rFonts w:ascii="Microsoft YaHei" w:hAnsi="Microsoft YaHei"/>
        </w:rPr>
        <w:t xml:space="preserve"> 板块整体下跌 </w:t>
      </w:r>
      <w:r>
        <w:rPr>
          <w:rFonts w:ascii="Microsoft YaHei" w:hAnsi="Microsoft YaHei"/>
          <w:b/>
          <w:color w:val="1A1A1A"/>
        </w:rPr>
        <w:t>2.93%</w:t>
      </w:r>
      <w:r>
        <w:rPr>
          <w:rFonts w:ascii="Microsoft YaHei" w:hAnsi="Microsoft YaHei"/>
        </w:rPr>
        <w:t xml:space="preserve">（排名第802/1158位），板块内分化明显——*ST中岩领涨+9.85%，而中岩大地、太极实业跌幅超10%。中国建筑在板块内排名第 </w:t>
      </w:r>
      <w:r>
        <w:rPr>
          <w:rFonts w:ascii="Microsoft YaHei" w:hAnsi="Microsoft YaHei"/>
          <w:b/>
          <w:color w:val="1A1A1A"/>
        </w:rPr>
        <w:t>8/108</w:t>
      </w:r>
      <w:r>
        <w:rPr>
          <w:rFonts w:ascii="Microsoft YaHei" w:hAnsi="Microsoft YaHei"/>
        </w:rPr>
        <w:t>，表现显著强于同业。</w:t>
      </w:r>
    </w:p>
    <w:p>
      <w:r>
        <w:rPr>
          <w:rFonts w:ascii="Microsoft YaHei" w:hAnsi="Microsoft YaHei"/>
        </w:rPr>
        <w:t xml:space="preserve">与此同时，上证50指数样本股板块整体上涨 </w:t>
      </w:r>
      <w:r>
        <w:rPr>
          <w:rFonts w:ascii="Microsoft YaHei" w:hAnsi="Microsoft YaHei"/>
          <w:b/>
          <w:color w:val="1A1A1A"/>
        </w:rPr>
        <w:t>3.11%</w:t>
      </w:r>
      <w:r>
        <w:rPr>
          <w:rFonts w:ascii="Microsoft YaHei" w:hAnsi="Microsoft YaHei"/>
        </w:rPr>
        <w:t xml:space="preserve">（排名第35/1158位），中国建筑在该板块内排名 </w:t>
      </w:r>
      <w:r>
        <w:rPr>
          <w:rFonts w:ascii="Microsoft YaHei" w:hAnsi="Microsoft YaHei"/>
          <w:b/>
          <w:color w:val="1A1A1A"/>
        </w:rPr>
        <w:t>39/55</w:t>
      </w:r>
      <w:r>
        <w:rPr>
          <w:rFonts w:ascii="Microsoft YaHei" w:hAnsi="Microsoft YaHei"/>
        </w:rPr>
        <w:t>，处于中位偏后位置，但绝对涨幅仍较可观。</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当前价</w:t>
            </w:r>
          </w:p>
        </w:tc>
        <w:tc>
          <w:tcPr>
            <w:tcW w:type="dxa" w:w="4533"/>
          </w:tcPr>
          <w:p>
            <w:pPr>
              <w:spacing w:before="40" w:after="40" w:line="288" w:lineRule="auto"/>
            </w:pPr>
            <w:r/>
            <w:r>
              <w:rPr>
                <w:rFonts w:ascii="Microsoft YaHei" w:hAnsi="Microsoft YaHei"/>
                <w:b/>
                <w:color w:val="1A1A1A"/>
                <w:sz w:val="18"/>
              </w:rPr>
              <w:t>4.65 元</w:t>
            </w:r>
            <w:r>
              <w:rPr>
                <w:rFonts w:ascii="Microsoft YaHei" w:hAnsi="Microsoft YaHei"/>
                <w:sz w:val="18"/>
              </w:rPr>
              <w:t>（+2.65%）</w:t>
            </w:r>
          </w:p>
        </w:tc>
      </w:tr>
      <w:tr>
        <w:tc>
          <w:tcPr>
            <w:tcW w:type="dxa" w:w="4533"/>
            <w:shd w:fill="F8F9FA" w:val="clear"/>
          </w:tcPr>
          <w:p>
            <w:pPr>
              <w:spacing w:before="40" w:after="40" w:line="288" w:lineRule="auto"/>
            </w:pPr>
            <w:r/>
            <w:r>
              <w:rPr>
                <w:rFonts w:ascii="Microsoft YaHei" w:hAnsi="Microsoft YaHei"/>
                <w:sz w:val="18"/>
              </w:rPr>
              <w:t>开盘/昨收</w:t>
            </w:r>
          </w:p>
        </w:tc>
        <w:tc>
          <w:tcPr>
            <w:tcW w:type="dxa" w:w="4533"/>
            <w:shd w:fill="F8F9FA" w:val="clear"/>
          </w:tcPr>
          <w:p>
            <w:pPr>
              <w:spacing w:before="40" w:after="40" w:line="288" w:lineRule="auto"/>
            </w:pPr>
            <w:r/>
            <w:r>
              <w:rPr>
                <w:rFonts w:ascii="Microsoft YaHei" w:hAnsi="Microsoft YaHei"/>
                <w:sz w:val="18"/>
              </w:rPr>
              <w:t>4.53 / 4.53</w:t>
            </w:r>
          </w:p>
        </w:tc>
      </w:tr>
      <w:tr>
        <w:tc>
          <w:tcPr>
            <w:tcW w:type="dxa" w:w="4533"/>
          </w:tcPr>
          <w:p>
            <w:pPr>
              <w:spacing w:before="40" w:after="40" w:line="288" w:lineRule="auto"/>
            </w:pPr>
            <w:r/>
            <w:r>
              <w:rPr>
                <w:rFonts w:ascii="Microsoft YaHei" w:hAnsi="Microsoft YaHei"/>
                <w:sz w:val="18"/>
              </w:rPr>
              <w:t>最高/最低</w:t>
            </w:r>
          </w:p>
        </w:tc>
        <w:tc>
          <w:tcPr>
            <w:tcW w:type="dxa" w:w="4533"/>
          </w:tcPr>
          <w:p>
            <w:pPr>
              <w:spacing w:before="40" w:after="40" w:line="288" w:lineRule="auto"/>
            </w:pPr>
            <w:r/>
            <w:r>
              <w:rPr>
                <w:rFonts w:ascii="Microsoft YaHei" w:hAnsi="Microsoft YaHei"/>
                <w:sz w:val="18"/>
              </w:rPr>
              <w:t>4.66 / 4.53</w:t>
            </w:r>
          </w:p>
        </w:tc>
      </w:tr>
      <w:tr>
        <w:tc>
          <w:tcPr>
            <w:tcW w:type="dxa" w:w="4533"/>
            <w:shd w:fill="F8F9FA" w:val="clear"/>
          </w:tcPr>
          <w:p>
            <w:pPr>
              <w:spacing w:before="40" w:after="40" w:line="288" w:lineRule="auto"/>
            </w:pPr>
            <w:r/>
            <w:r>
              <w:rPr>
                <w:rFonts w:ascii="Microsoft YaHei" w:hAnsi="Microsoft YaHei"/>
                <w:sz w:val="18"/>
              </w:rPr>
              <w:t>成交额</w:t>
            </w:r>
          </w:p>
        </w:tc>
        <w:tc>
          <w:tcPr>
            <w:tcW w:type="dxa" w:w="4533"/>
            <w:shd w:fill="F8F9FA" w:val="clear"/>
          </w:tcPr>
          <w:p>
            <w:pPr>
              <w:spacing w:before="40" w:after="40" w:line="288" w:lineRule="auto"/>
            </w:pPr>
            <w:r/>
            <w:r>
              <w:rPr>
                <w:rFonts w:ascii="Microsoft YaHei" w:hAnsi="Microsoft YaHei"/>
                <w:b/>
                <w:color w:val="1A1A1A"/>
                <w:sz w:val="18"/>
              </w:rPr>
              <w:t>21.37 亿元</w:t>
            </w:r>
          </w:p>
        </w:tc>
      </w:tr>
      <w:tr>
        <w:tc>
          <w:tcPr>
            <w:tcW w:type="dxa" w:w="4533"/>
          </w:tcPr>
          <w:p>
            <w:pPr>
              <w:spacing w:before="40" w:after="40" w:line="288" w:lineRule="auto"/>
            </w:pPr>
            <w:r/>
            <w:r>
              <w:rPr>
                <w:rFonts w:ascii="Microsoft YaHei" w:hAnsi="Microsoft YaHei"/>
                <w:sz w:val="18"/>
              </w:rPr>
              <w:t>换手率</w:t>
            </w:r>
          </w:p>
        </w:tc>
        <w:tc>
          <w:tcPr>
            <w:tcW w:type="dxa" w:w="4533"/>
          </w:tcPr>
          <w:p>
            <w:pPr>
              <w:spacing w:before="40" w:after="40" w:line="288" w:lineRule="auto"/>
            </w:pPr>
            <w:r/>
            <w:r>
              <w:rPr>
                <w:rFonts w:ascii="Microsoft YaHei" w:hAnsi="Microsoft YaHei"/>
                <w:b/>
                <w:color w:val="1A1A1A"/>
                <w:sz w:val="18"/>
              </w:rPr>
              <w:t>1.12%</w:t>
            </w:r>
            <w:r>
              <w:rPr>
                <w:rFonts w:ascii="Microsoft YaHei" w:hAnsi="Microsoft YaHei"/>
                <w:sz w:val="18"/>
              </w:rPr>
              <w:t>（上一交易日全日仅0.657%，放量明显）</w:t>
            </w:r>
          </w:p>
        </w:tc>
      </w:tr>
      <w:tr>
        <w:tc>
          <w:tcPr>
            <w:tcW w:type="dxa" w:w="4533"/>
            <w:shd w:fill="F8F9FA" w:val="clear"/>
          </w:tcPr>
          <w:p>
            <w:pPr>
              <w:spacing w:before="40" w:after="40" w:line="288" w:lineRule="auto"/>
            </w:pPr>
            <w:r/>
            <w:r>
              <w:rPr>
                <w:rFonts w:ascii="Microsoft YaHei" w:hAnsi="Microsoft YaHei"/>
                <w:sz w:val="18"/>
              </w:rPr>
              <w:t>量比</w:t>
            </w:r>
          </w:p>
        </w:tc>
        <w:tc>
          <w:tcPr>
            <w:tcW w:type="dxa" w:w="4533"/>
            <w:shd w:fill="F8F9FA" w:val="clear"/>
          </w:tcPr>
          <w:p>
            <w:pPr>
              <w:spacing w:before="40" w:after="40" w:line="288" w:lineRule="auto"/>
            </w:pPr>
            <w:r/>
            <w:r>
              <w:rPr>
                <w:rFonts w:ascii="Microsoft YaHei" w:hAnsi="Microsoft YaHei"/>
                <w:b/>
                <w:color w:val="1A1A1A"/>
                <w:sz w:val="18"/>
              </w:rPr>
              <w:t>1.66</w:t>
            </w:r>
          </w:p>
        </w:tc>
      </w:tr>
      <w:tr>
        <w:tc>
          <w:tcPr>
            <w:tcW w:type="dxa" w:w="4533"/>
          </w:tcPr>
          <w:p>
            <w:pPr>
              <w:spacing w:before="40" w:after="40" w:line="288" w:lineRule="auto"/>
            </w:pPr>
            <w:r/>
            <w:r>
              <w:rPr>
                <w:rFonts w:ascii="Microsoft YaHei" w:hAnsi="Microsoft YaHei"/>
                <w:sz w:val="18"/>
              </w:rPr>
              <w:t>动态市盈率</w:t>
            </w:r>
          </w:p>
        </w:tc>
        <w:tc>
          <w:tcPr>
            <w:tcW w:type="dxa" w:w="4533"/>
          </w:tcPr>
          <w:p>
            <w:pPr>
              <w:spacing w:before="40" w:after="40" w:line="288" w:lineRule="auto"/>
            </w:pPr>
            <w:r/>
            <w:r>
              <w:rPr>
                <w:rFonts w:ascii="Microsoft YaHei" w:hAnsi="Microsoft YaHei"/>
                <w:b/>
                <w:color w:val="1A1A1A"/>
                <w:sz w:val="18"/>
              </w:rPr>
              <w:t>3.46 倍</w:t>
            </w:r>
          </w:p>
        </w:tc>
      </w:tr>
      <w:tr>
        <w:tc>
          <w:tcPr>
            <w:tcW w:type="dxa" w:w="4533"/>
            <w:shd w:fill="F8F9FA" w:val="clear"/>
          </w:tcPr>
          <w:p>
            <w:pPr>
              <w:spacing w:before="40" w:after="40" w:line="288" w:lineRule="auto"/>
            </w:pPr>
            <w:r/>
            <w:r>
              <w:rPr>
                <w:rFonts w:ascii="Microsoft YaHei" w:hAnsi="Microsoft YaHei"/>
                <w:sz w:val="18"/>
              </w:rPr>
              <w:t>市净率</w:t>
            </w:r>
          </w:p>
        </w:tc>
        <w:tc>
          <w:tcPr>
            <w:tcW w:type="dxa" w:w="4533"/>
            <w:shd w:fill="F8F9FA" w:val="clear"/>
          </w:tcPr>
          <w:p>
            <w:pPr>
              <w:spacing w:before="40" w:after="40" w:line="288" w:lineRule="auto"/>
            </w:pPr>
            <w:r/>
            <w:r>
              <w:rPr>
                <w:rFonts w:ascii="Microsoft YaHei" w:hAnsi="Microsoft YaHei"/>
                <w:b/>
                <w:color w:val="1A1A1A"/>
                <w:sz w:val="18"/>
              </w:rPr>
              <w:t>0.40 倍</w:t>
            </w:r>
          </w:p>
        </w:tc>
      </w:tr>
    </w:tbl>
    <w:p/>
    <w:p>
      <w:r>
        <w:rPr>
          <w:rFonts w:ascii="Microsoft YaHei" w:hAnsi="Microsoft YaHei"/>
        </w:rPr>
        <w:t>股价今日高开高走，全天运行于昨收盘价之上，盘中未回补缺口，走势强劲。</w:t>
      </w:r>
      <w:r>
        <w:rPr>
          <w:rFonts w:ascii="Microsoft YaHei" w:hAnsi="Microsoft YaHei"/>
          <w:b/>
          <w:color w:val="1A1A1A"/>
        </w:rPr>
        <w:t>量比1.66</w:t>
      </w:r>
      <w:r>
        <w:rPr>
          <w:rFonts w:ascii="Microsoft YaHei" w:hAnsi="Microsoft YaHei"/>
        </w:rPr>
        <w:t xml:space="preserve">、半日换手超昨日全日，属于 </w:t>
      </w:r>
      <w:r>
        <w:rPr>
          <w:rFonts w:ascii="Microsoft YaHei" w:hAnsi="Microsoft YaHei"/>
          <w:b/>
          <w:color w:val="1A1A1A"/>
        </w:rPr>
        <w:t>显著放量上涨</w:t>
      </w:r>
      <w:r>
        <w:rPr>
          <w:rFonts w:ascii="Microsoft YaHei" w:hAnsi="Microsoft YaHei"/>
        </w:rPr>
        <w:t>。</w:t>
      </w:r>
    </w:p>
    <w:p>
      <w:r>
        <w:rPr>
          <w:rFonts w:ascii="Microsoft YaHei" w:hAnsi="Microsoft YaHei"/>
        </w:rPr>
        <w:t xml:space="preserve">从估值角度看，动态PE仅 </w:t>
      </w:r>
      <w:r>
        <w:rPr>
          <w:rFonts w:ascii="Microsoft YaHei" w:hAnsi="Microsoft YaHei"/>
          <w:b/>
          <w:color w:val="1A1A1A"/>
        </w:rPr>
        <w:t>3.46倍</w:t>
      </w:r>
      <w:r>
        <w:rPr>
          <w:rFonts w:ascii="Microsoft YaHei" w:hAnsi="Microsoft YaHei"/>
        </w:rPr>
        <w:t xml:space="preserve">，PB仅 </w:t>
      </w:r>
      <w:r>
        <w:rPr>
          <w:rFonts w:ascii="Microsoft YaHei" w:hAnsi="Microsoft YaHei"/>
          <w:b/>
          <w:color w:val="1A1A1A"/>
        </w:rPr>
        <w:t>0.40倍</w:t>
      </w:r>
      <w:r>
        <w:rPr>
          <w:rFonts w:ascii="Microsoft YaHei" w:hAnsi="Microsoft YaHei"/>
        </w:rPr>
        <w:t>，在全部A股中处于绝对低估区间，安全边际极高。</w:t>
      </w:r>
    </w:p>
    <w:p>
      <w:r>
        <w:rPr>
          <w:rFonts w:ascii="Microsoft YaHei" w:hAnsi="Microsoft YaHei"/>
        </w:rPr>
        <w:t xml:space="preserve">外盘 </w:t>
      </w:r>
      <w:r>
        <w:rPr>
          <w:rFonts w:ascii="Microsoft YaHei" w:hAnsi="Microsoft YaHei"/>
          <w:b/>
          <w:color w:val="1A1A1A"/>
        </w:rPr>
        <w:t>299.1万手</w:t>
      </w:r>
      <w:r>
        <w:rPr>
          <w:rFonts w:ascii="Microsoft YaHei" w:hAnsi="Microsoft YaHei"/>
        </w:rPr>
        <w:t xml:space="preserve"> vs 内盘 </w:t>
      </w:r>
      <w:r>
        <w:rPr>
          <w:rFonts w:ascii="Microsoft YaHei" w:hAnsi="Microsoft YaHei"/>
          <w:b/>
          <w:color w:val="1A1A1A"/>
        </w:rPr>
        <w:t>164.7万手</w:t>
      </w:r>
      <w:r>
        <w:rPr>
          <w:rFonts w:ascii="Microsoft YaHei" w:hAnsi="Microsoft YaHei"/>
        </w:rPr>
        <w:t xml:space="preserve">，外盘/内盘比值约 </w:t>
      </w:r>
      <w:r>
        <w:rPr>
          <w:rFonts w:ascii="Microsoft YaHei" w:hAnsi="Microsoft YaHei"/>
          <w:b/>
          <w:color w:val="1A1A1A"/>
        </w:rPr>
        <w:t>1.82</w:t>
      </w:r>
      <w:r>
        <w:rPr>
          <w:rFonts w:ascii="Microsoft YaHei" w:hAnsi="Microsoft YaHei"/>
        </w:rPr>
        <w:t>，主动买盘远大于主动卖盘，多头占据绝对主导。</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今日逐分钟资金流向</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净流向</w:t>
            </w:r>
          </w:p>
        </w:tc>
        <w:tc>
          <w:tcPr>
            <w:tcW w:type="dxa" w:w="4533"/>
          </w:tcPr>
          <w:p>
            <w:pPr>
              <w:spacing w:before="40" w:after="40" w:line="288" w:lineRule="auto"/>
            </w:pPr>
            <w:r/>
            <w:r>
              <w:rPr>
                <w:rFonts w:ascii="Microsoft YaHei" w:hAnsi="Microsoft YaHei"/>
                <w:b/>
                <w:color w:val="1A1A1A"/>
                <w:sz w:val="18"/>
              </w:rPr>
              <w:t>净流入 7151.25 万元</w:t>
            </w:r>
          </w:p>
        </w:tc>
      </w:tr>
      <w:tr>
        <w:tc>
          <w:tcPr>
            <w:tcW w:type="dxa" w:w="4533"/>
            <w:shd w:fill="F8F9FA" w:val="clear"/>
          </w:tcPr>
          <w:p>
            <w:pPr>
              <w:spacing w:before="40" w:after="40" w:line="288" w:lineRule="auto"/>
            </w:pPr>
            <w:r/>
            <w:r>
              <w:rPr>
                <w:rFonts w:ascii="Microsoft YaHei" w:hAnsi="Microsoft YaHei"/>
                <w:sz w:val="18"/>
              </w:rPr>
              <w:t>资金流入分钟数</w:t>
            </w:r>
          </w:p>
        </w:tc>
        <w:tc>
          <w:tcPr>
            <w:tcW w:type="dxa" w:w="4533"/>
            <w:shd w:fill="F8F9FA" w:val="clear"/>
          </w:tcPr>
          <w:p>
            <w:pPr>
              <w:spacing w:before="40" w:after="40" w:line="288" w:lineRule="auto"/>
            </w:pPr>
            <w:r/>
            <w:r>
              <w:rPr>
                <w:rFonts w:ascii="Microsoft YaHei" w:hAnsi="Microsoft YaHei"/>
                <w:sz w:val="18"/>
              </w:rPr>
              <w:t>68 分钟</w:t>
            </w:r>
          </w:p>
        </w:tc>
      </w:tr>
      <w:tr>
        <w:tc>
          <w:tcPr>
            <w:tcW w:type="dxa" w:w="4533"/>
          </w:tcPr>
          <w:p>
            <w:pPr>
              <w:spacing w:before="40" w:after="40" w:line="288" w:lineRule="auto"/>
            </w:pPr>
            <w:r/>
            <w:r>
              <w:rPr>
                <w:rFonts w:ascii="Microsoft YaHei" w:hAnsi="Microsoft YaHei"/>
                <w:sz w:val="18"/>
              </w:rPr>
              <w:t>资金流出分钟数</w:t>
            </w:r>
          </w:p>
        </w:tc>
        <w:tc>
          <w:tcPr>
            <w:tcW w:type="dxa" w:w="4533"/>
          </w:tcPr>
          <w:p>
            <w:pPr>
              <w:spacing w:before="40" w:after="40" w:line="288" w:lineRule="auto"/>
            </w:pPr>
            <w:r/>
            <w:r>
              <w:rPr>
                <w:rFonts w:ascii="Microsoft YaHei" w:hAnsi="Microsoft YaHei"/>
                <w:sz w:val="18"/>
              </w:rPr>
              <w:t>52 分钟</w:t>
            </w:r>
          </w:p>
        </w:tc>
      </w:tr>
      <w:tr>
        <w:tc>
          <w:tcPr>
            <w:tcW w:type="dxa" w:w="4533"/>
            <w:shd w:fill="F8F9FA" w:val="clear"/>
          </w:tcPr>
          <w:p>
            <w:pPr>
              <w:spacing w:before="40" w:after="40" w:line="288" w:lineRule="auto"/>
            </w:pPr>
            <w:r/>
            <w:r>
              <w:rPr>
                <w:rFonts w:ascii="Microsoft YaHei" w:hAnsi="Microsoft YaHei"/>
                <w:sz w:val="18"/>
              </w:rPr>
              <w:t>最大单分钟流入</w:t>
            </w:r>
          </w:p>
        </w:tc>
        <w:tc>
          <w:tcPr>
            <w:tcW w:type="dxa" w:w="4533"/>
            <w:shd w:fill="F8F9FA" w:val="clear"/>
          </w:tcPr>
          <w:p>
            <w:pPr>
              <w:spacing w:before="40" w:after="40" w:line="288" w:lineRule="auto"/>
            </w:pPr>
            <w:r/>
            <w:r>
              <w:rPr>
                <w:rFonts w:ascii="Microsoft YaHei" w:hAnsi="Microsoft YaHei"/>
                <w:sz w:val="18"/>
              </w:rPr>
              <w:t>1893.1 万</w:t>
            </w:r>
          </w:p>
        </w:tc>
      </w:tr>
      <w:tr>
        <w:tc>
          <w:tcPr>
            <w:tcW w:type="dxa" w:w="4533"/>
          </w:tcPr>
          <w:p>
            <w:pPr>
              <w:spacing w:before="40" w:after="40" w:line="288" w:lineRule="auto"/>
            </w:pPr>
            <w:r/>
            <w:r>
              <w:rPr>
                <w:rFonts w:ascii="Microsoft YaHei" w:hAnsi="Microsoft YaHei"/>
                <w:sz w:val="18"/>
              </w:rPr>
              <w:t>最大单分钟流出</w:t>
            </w:r>
          </w:p>
        </w:tc>
        <w:tc>
          <w:tcPr>
            <w:tcW w:type="dxa" w:w="4533"/>
          </w:tcPr>
          <w:p>
            <w:pPr>
              <w:spacing w:before="40" w:after="40" w:line="288" w:lineRule="auto"/>
            </w:pPr>
            <w:r/>
            <w:r>
              <w:rPr>
                <w:rFonts w:ascii="Microsoft YaHei" w:hAnsi="Microsoft YaHei"/>
                <w:sz w:val="18"/>
              </w:rPr>
              <w:t>2971.1 万</w:t>
            </w:r>
          </w:p>
        </w:tc>
      </w:tr>
    </w:tbl>
    <w:p/>
    <w:p>
      <w:r>
        <w:rPr>
          <w:rFonts w:ascii="Microsoft YaHei" w:hAnsi="Microsoft YaHei"/>
        </w:rPr>
        <w:t xml:space="preserve">资金面呈现 </w:t>
      </w:r>
      <w:r>
        <w:rPr>
          <w:rFonts w:ascii="Microsoft YaHei" w:hAnsi="Microsoft YaHei"/>
          <w:b/>
          <w:color w:val="1A1A1A"/>
        </w:rPr>
        <w:t>净流入</w:t>
      </w:r>
      <w:r>
        <w:rPr>
          <w:rFonts w:ascii="Microsoft YaHei" w:hAnsi="Microsoft YaHei"/>
        </w:rPr>
        <w:t>状态，流入时长 &gt; 流出时长，说明市场买入意愿持续且坚决。</w:t>
      </w:r>
    </w:p>
    <w:p>
      <w:pPr>
        <w:spacing w:before="280" w:after="80" w:line="312" w:lineRule="auto"/>
      </w:pPr>
      <w:r>
        <w:rPr>
          <w:rFonts w:ascii="Microsoft YaHei" w:hAnsi="Microsoft YaHei"/>
          <w:b/>
          <w:color w:val="333333"/>
          <w:sz w:val="24"/>
        </w:rPr>
        <w:t>上一个交易日资金细分</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类型</w:t>
            </w:r>
          </w:p>
        </w:tc>
        <w:tc>
          <w:tcPr>
            <w:tcW w:type="dxa" w:w="2266"/>
            <w:shd w:fill="F6F8FA" w:val="clear"/>
          </w:tcPr>
          <w:p>
            <w:pPr>
              <w:spacing w:before="40" w:after="40" w:line="288" w:lineRule="auto"/>
            </w:pPr>
            <w:r/>
            <w:r>
              <w:rPr>
                <w:rFonts w:ascii="Microsoft YaHei" w:hAnsi="Microsoft YaHei"/>
                <w:b/>
                <w:color w:val="1A1A1A"/>
                <w:sz w:val="18"/>
              </w:rPr>
              <w:t>净额（元）</w:t>
            </w:r>
          </w:p>
        </w:tc>
        <w:tc>
          <w:tcPr>
            <w:tcW w:type="dxa" w:w="2266"/>
            <w:shd w:fill="F6F8FA" w:val="clear"/>
          </w:tcPr>
          <w:p>
            <w:pPr>
              <w:spacing w:before="40" w:after="40" w:line="288" w:lineRule="auto"/>
            </w:pPr>
            <w:r/>
            <w:r>
              <w:rPr>
                <w:rFonts w:ascii="Microsoft YaHei" w:hAnsi="Microsoft YaHei"/>
                <w:b/>
                <w:color w:val="1A1A1A"/>
                <w:sz w:val="18"/>
              </w:rPr>
              <w:t>买入额（元）</w:t>
            </w:r>
          </w:p>
        </w:tc>
        <w:tc>
          <w:tcPr>
            <w:tcW w:type="dxa" w:w="2266"/>
            <w:shd w:fill="F6F8FA" w:val="clear"/>
          </w:tcPr>
          <w:p>
            <w:pPr>
              <w:spacing w:before="40" w:after="40" w:line="288" w:lineRule="auto"/>
            </w:pPr>
            <w:r/>
            <w:r>
              <w:rPr>
                <w:rFonts w:ascii="Microsoft YaHei" w:hAnsi="Microsoft YaHei"/>
                <w:b/>
                <w:color w:val="1A1A1A"/>
                <w:sz w:val="18"/>
              </w:rPr>
              <w:t>卖出额（元）</w:t>
            </w:r>
          </w:p>
        </w:tc>
      </w:tr>
      <w:tr>
        <w:tc>
          <w:tcPr>
            <w:tcW w:type="dxa" w:w="2266"/>
          </w:tcPr>
          <w:p>
            <w:pPr>
              <w:spacing w:before="40" w:after="40" w:line="288" w:lineRule="auto"/>
            </w:pPr>
            <w:r/>
            <w:r>
              <w:rPr>
                <w:rFonts w:ascii="Microsoft YaHei" w:hAnsi="Microsoft YaHei"/>
                <w:sz w:val="18"/>
              </w:rPr>
              <w:t>大单</w:t>
            </w:r>
          </w:p>
        </w:tc>
        <w:tc>
          <w:tcPr>
            <w:tcW w:type="dxa" w:w="2266"/>
          </w:tcPr>
          <w:p>
            <w:pPr>
              <w:spacing w:before="40" w:after="40" w:line="288" w:lineRule="auto"/>
            </w:pPr>
            <w:r/>
            <w:r>
              <w:rPr>
                <w:rFonts w:ascii="Microsoft YaHei" w:hAnsi="Microsoft YaHei"/>
                <w:b/>
                <w:color w:val="1A1A1A"/>
                <w:sz w:val="18"/>
              </w:rPr>
              <w:t>+2426.5 万</w:t>
            </w:r>
          </w:p>
        </w:tc>
        <w:tc>
          <w:tcPr>
            <w:tcW w:type="dxa" w:w="2266"/>
          </w:tcPr>
          <w:p>
            <w:pPr>
              <w:spacing w:before="40" w:after="40" w:line="288" w:lineRule="auto"/>
            </w:pPr>
            <w:r/>
            <w:r>
              <w:rPr>
                <w:rFonts w:ascii="Microsoft YaHei" w:hAnsi="Microsoft YaHei"/>
                <w:sz w:val="18"/>
              </w:rPr>
              <w:t>1.69亿</w:t>
            </w:r>
          </w:p>
        </w:tc>
        <w:tc>
          <w:tcPr>
            <w:tcW w:type="dxa" w:w="2266"/>
          </w:tcPr>
          <w:p>
            <w:pPr>
              <w:spacing w:before="40" w:after="40" w:line="288" w:lineRule="auto"/>
            </w:pPr>
            <w:r/>
            <w:r>
              <w:rPr>
                <w:rFonts w:ascii="Microsoft YaHei" w:hAnsi="Microsoft YaHei"/>
                <w:sz w:val="18"/>
              </w:rPr>
              <w:t>1.44亿</w:t>
            </w:r>
          </w:p>
        </w:tc>
      </w:tr>
      <w:tr>
        <w:tc>
          <w:tcPr>
            <w:tcW w:type="dxa" w:w="2266"/>
            <w:shd w:fill="F8F9FA" w:val="clear"/>
          </w:tcPr>
          <w:p>
            <w:pPr>
              <w:spacing w:before="40" w:after="40" w:line="288" w:lineRule="auto"/>
            </w:pPr>
            <w:r/>
            <w:r>
              <w:rPr>
                <w:rFonts w:ascii="Microsoft YaHei" w:hAnsi="Microsoft YaHei"/>
                <w:sz w:val="18"/>
              </w:rPr>
              <w:t>中单</w:t>
            </w:r>
          </w:p>
        </w:tc>
        <w:tc>
          <w:tcPr>
            <w:tcW w:type="dxa" w:w="2266"/>
            <w:shd w:fill="F8F9FA" w:val="clear"/>
          </w:tcPr>
          <w:p>
            <w:pPr>
              <w:spacing w:before="40" w:after="40" w:line="288" w:lineRule="auto"/>
            </w:pPr>
            <w:r/>
            <w:r>
              <w:rPr>
                <w:rFonts w:ascii="Microsoft YaHei" w:hAnsi="Microsoft YaHei"/>
                <w:b/>
                <w:color w:val="1A1A1A"/>
                <w:sz w:val="18"/>
              </w:rPr>
              <w:t>+2505.1 万</w:t>
            </w:r>
          </w:p>
        </w:tc>
        <w:tc>
          <w:tcPr>
            <w:tcW w:type="dxa" w:w="2266"/>
            <w:shd w:fill="F8F9FA" w:val="clear"/>
          </w:tcPr>
          <w:p>
            <w:pPr>
              <w:spacing w:before="40" w:after="40" w:line="288" w:lineRule="auto"/>
            </w:pPr>
            <w:r/>
            <w:r>
              <w:rPr>
                <w:rFonts w:ascii="Microsoft YaHei" w:hAnsi="Microsoft YaHei"/>
                <w:sz w:val="18"/>
              </w:rPr>
              <w:t>1.84亿</w:t>
            </w:r>
          </w:p>
        </w:tc>
        <w:tc>
          <w:tcPr>
            <w:tcW w:type="dxa" w:w="2266"/>
            <w:shd w:fill="F8F9FA" w:val="clear"/>
          </w:tcPr>
          <w:p>
            <w:pPr>
              <w:spacing w:before="40" w:after="40" w:line="288" w:lineRule="auto"/>
            </w:pPr>
            <w:r/>
            <w:r>
              <w:rPr>
                <w:rFonts w:ascii="Microsoft YaHei" w:hAnsi="Microsoft YaHei"/>
                <w:sz w:val="18"/>
              </w:rPr>
              <w:t>1.59亿</w:t>
            </w:r>
          </w:p>
        </w:tc>
      </w:tr>
      <w:tr>
        <w:tc>
          <w:tcPr>
            <w:tcW w:type="dxa" w:w="2266"/>
          </w:tcPr>
          <w:p>
            <w:pPr>
              <w:spacing w:before="40" w:after="40" w:line="288" w:lineRule="auto"/>
            </w:pPr>
            <w:r/>
            <w:r>
              <w:rPr>
                <w:rFonts w:ascii="Microsoft YaHei" w:hAnsi="Microsoft YaHei"/>
                <w:sz w:val="18"/>
              </w:rPr>
              <w:t>小单</w:t>
            </w:r>
          </w:p>
        </w:tc>
        <w:tc>
          <w:tcPr>
            <w:tcW w:type="dxa" w:w="2266"/>
          </w:tcPr>
          <w:p>
            <w:pPr>
              <w:spacing w:before="40" w:after="40" w:line="288" w:lineRule="auto"/>
            </w:pPr>
            <w:r/>
            <w:r>
              <w:rPr>
                <w:rFonts w:ascii="Microsoft YaHei" w:hAnsi="Microsoft YaHei"/>
                <w:b/>
                <w:color w:val="1A1A1A"/>
                <w:sz w:val="18"/>
              </w:rPr>
              <w:t>+2220.0 万</w:t>
            </w:r>
          </w:p>
        </w:tc>
        <w:tc>
          <w:tcPr>
            <w:tcW w:type="dxa" w:w="2266"/>
          </w:tcPr>
          <w:p>
            <w:pPr>
              <w:spacing w:before="40" w:after="40" w:line="288" w:lineRule="auto"/>
            </w:pPr>
            <w:r/>
            <w:r>
              <w:rPr>
                <w:rFonts w:ascii="Microsoft YaHei" w:hAnsi="Microsoft YaHei"/>
                <w:sz w:val="18"/>
              </w:rPr>
              <w:t>1.05亿</w:t>
            </w:r>
          </w:p>
        </w:tc>
        <w:tc>
          <w:tcPr>
            <w:tcW w:type="dxa" w:w="2266"/>
          </w:tcPr>
          <w:p>
            <w:pPr>
              <w:spacing w:before="40" w:after="40" w:line="288" w:lineRule="auto"/>
            </w:pPr>
            <w:r/>
            <w:r>
              <w:rPr>
                <w:rFonts w:ascii="Microsoft YaHei" w:hAnsi="Microsoft YaHei"/>
                <w:sz w:val="18"/>
              </w:rPr>
              <w:t>0.83亿</w:t>
            </w:r>
          </w:p>
        </w:tc>
      </w:tr>
    </w:tbl>
    <w:p/>
    <w:p>
      <w:r>
        <w:rPr>
          <w:rFonts w:ascii="Microsoft YaHei" w:hAnsi="Microsoft YaHei"/>
        </w:rPr>
        <w:t xml:space="preserve">三大资金维度（大单/中单/小单）全面净流入，合计净流入 </w:t>
      </w:r>
      <w:r>
        <w:rPr>
          <w:rFonts w:ascii="Microsoft YaHei" w:hAnsi="Microsoft YaHei"/>
          <w:b/>
          <w:color w:val="1A1A1A"/>
        </w:rPr>
        <w:t>7151.3万元</w:t>
      </w:r>
      <w:r>
        <w:rPr>
          <w:rFonts w:ascii="Microsoft YaHei" w:hAnsi="Microsoft YaHei"/>
        </w:rPr>
        <w:t>，显示各类资金当前对该股形成一致看多共识。</w:t>
      </w:r>
    </w:p>
    <w:p>
      <w:pPr>
        <w:spacing w:before="280" w:after="80" w:line="312" w:lineRule="auto"/>
      </w:pPr>
      <w:r>
        <w:rPr>
          <w:rFonts w:ascii="Microsoft YaHei" w:hAnsi="Microsoft YaHei"/>
          <w:b/>
          <w:color w:val="333333"/>
          <w:sz w:val="24"/>
        </w:rPr>
        <w:t>融资融券（上一交易日）</w:t>
      </w:r>
    </w:p>
    <w:p>
      <w:pPr>
        <w:pStyle w:val="ListBullet"/>
      </w:pPr>
      <w:r>
        <w:rPr>
          <w:rFonts w:ascii="Microsoft YaHei" w:hAnsi="Microsoft YaHei"/>
        </w:rPr>
        <w:t>融资余额：</w:t>
      </w:r>
      <w:r>
        <w:rPr>
          <w:rFonts w:ascii="Microsoft YaHei" w:hAnsi="Microsoft YaHei"/>
          <w:b/>
          <w:color w:val="1A1A1A"/>
        </w:rPr>
        <w:t>46.27亿元</w:t>
      </w:r>
      <w:r>
        <w:rPr>
          <w:rFonts w:ascii="Microsoft YaHei" w:hAnsi="Microsoft YaHei"/>
        </w:rPr>
        <w:t>（较前日 -3.13%）</w:t>
      </w:r>
    </w:p>
    <w:p>
      <w:pPr>
        <w:pStyle w:val="ListBullet"/>
      </w:pPr>
      <w:r>
        <w:rPr>
          <w:rFonts w:ascii="Microsoft YaHei" w:hAnsi="Microsoft YaHei"/>
        </w:rPr>
        <w:t>融券余额：</w:t>
      </w:r>
      <w:r>
        <w:rPr>
          <w:rFonts w:ascii="Microsoft YaHei" w:hAnsi="Microsoft YaHei"/>
          <w:b/>
          <w:color w:val="1A1A1A"/>
        </w:rPr>
        <w:t>0.47亿元</w:t>
      </w:r>
      <w:r>
        <w:rPr>
          <w:rFonts w:ascii="Microsoft YaHei" w:hAnsi="Microsoft YaHei"/>
        </w:rPr>
        <w:t>（较前日 +2.06%）</w:t>
      </w:r>
    </w:p>
    <w:p>
      <w:r>
        <w:rPr>
          <w:rFonts w:ascii="Microsoft YaHei" w:hAnsi="Microsoft YaHei"/>
        </w:rPr>
        <w:t>融资余额小幅回落，融券余额略有增加，变化幅度不大，暂未构成明显方向性信号。</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技术指标</w:t>
            </w:r>
          </w:p>
        </w:tc>
        <w:tc>
          <w:tcPr>
            <w:tcW w:type="dxa" w:w="3022"/>
            <w:shd w:fill="F6F8FA" w:val="clear"/>
          </w:tcPr>
          <w:p>
            <w:pPr>
              <w:spacing w:before="40" w:after="40" w:line="288" w:lineRule="auto"/>
            </w:pPr>
            <w:r/>
            <w:r>
              <w:rPr>
                <w:rFonts w:ascii="Microsoft YaHei" w:hAnsi="Microsoft YaHei"/>
                <w:b/>
                <w:color w:val="1A1A1A"/>
                <w:sz w:val="18"/>
              </w:rPr>
              <w:t>价位</w:t>
            </w:r>
          </w:p>
        </w:tc>
        <w:tc>
          <w:tcPr>
            <w:tcW w:type="dxa" w:w="3022"/>
            <w:shd w:fill="F6F8FA" w:val="clear"/>
          </w:tcPr>
          <w:p>
            <w:pPr>
              <w:spacing w:before="40" w:after="40" w:line="288" w:lineRule="auto"/>
            </w:pPr>
            <w:r/>
            <w:r>
              <w:rPr>
                <w:rFonts w:ascii="Microsoft YaHei" w:hAnsi="Microsoft YaHei"/>
                <w:b/>
                <w:color w:val="1A1A1A"/>
                <w:sz w:val="18"/>
              </w:rPr>
              <w:t>当前价偏离度</w:t>
            </w:r>
          </w:p>
        </w:tc>
      </w:tr>
      <w:tr>
        <w:tc>
          <w:tcPr>
            <w:tcW w:type="dxa" w:w="3022"/>
          </w:tcPr>
          <w:p>
            <w:pPr>
              <w:spacing w:before="40" w:after="40" w:line="288" w:lineRule="auto"/>
            </w:pPr>
            <w:r/>
            <w:r>
              <w:rPr>
                <w:rFonts w:ascii="Microsoft YaHei" w:hAnsi="Microsoft YaHei"/>
                <w:sz w:val="18"/>
              </w:rPr>
              <w:t>MA5</w:t>
            </w:r>
          </w:p>
        </w:tc>
        <w:tc>
          <w:tcPr>
            <w:tcW w:type="dxa" w:w="3022"/>
          </w:tcPr>
          <w:p>
            <w:pPr>
              <w:spacing w:before="40" w:after="40" w:line="288" w:lineRule="auto"/>
            </w:pPr>
            <w:r/>
            <w:r>
              <w:rPr>
                <w:rFonts w:ascii="Microsoft YaHei" w:hAnsi="Microsoft YaHei"/>
                <w:sz w:val="18"/>
              </w:rPr>
              <w:t>4.69 元</w:t>
            </w:r>
          </w:p>
        </w:tc>
        <w:tc>
          <w:tcPr>
            <w:tcW w:type="dxa" w:w="3022"/>
          </w:tcPr>
          <w:p>
            <w:pPr>
              <w:spacing w:before="40" w:after="40" w:line="288" w:lineRule="auto"/>
            </w:pPr>
            <w:r/>
            <w:r>
              <w:rPr>
                <w:rFonts w:ascii="Microsoft YaHei" w:hAnsi="Microsoft YaHei"/>
                <w:b/>
                <w:color w:val="1A1A1A"/>
                <w:sz w:val="18"/>
              </w:rPr>
              <w:t>下方 0.8%</w:t>
            </w:r>
          </w:p>
        </w:tc>
      </w:tr>
      <w:tr>
        <w:tc>
          <w:tcPr>
            <w:tcW w:type="dxa" w:w="3022"/>
            <w:shd w:fill="F8F9FA" w:val="clear"/>
          </w:tcPr>
          <w:p>
            <w:pPr>
              <w:spacing w:before="40" w:after="40" w:line="288" w:lineRule="auto"/>
            </w:pPr>
            <w:r/>
            <w:r>
              <w:rPr>
                <w:rFonts w:ascii="Microsoft YaHei" w:hAnsi="Microsoft YaHei"/>
                <w:sz w:val="18"/>
              </w:rPr>
              <w:t>MA10</w:t>
            </w:r>
          </w:p>
        </w:tc>
        <w:tc>
          <w:tcPr>
            <w:tcW w:type="dxa" w:w="3022"/>
            <w:shd w:fill="F8F9FA" w:val="clear"/>
          </w:tcPr>
          <w:p>
            <w:pPr>
              <w:spacing w:before="40" w:after="40" w:line="288" w:lineRule="auto"/>
            </w:pPr>
            <w:r/>
            <w:r>
              <w:rPr>
                <w:rFonts w:ascii="Microsoft YaHei" w:hAnsi="Microsoft YaHei"/>
                <w:sz w:val="18"/>
              </w:rPr>
              <w:t>4.57 元</w:t>
            </w:r>
          </w:p>
        </w:tc>
        <w:tc>
          <w:tcPr>
            <w:tcW w:type="dxa" w:w="3022"/>
            <w:shd w:fill="F8F9FA" w:val="clear"/>
          </w:tcPr>
          <w:p>
            <w:pPr>
              <w:spacing w:before="40" w:after="40" w:line="288" w:lineRule="auto"/>
            </w:pPr>
            <w:r/>
            <w:r>
              <w:rPr>
                <w:rFonts w:ascii="Microsoft YaHei" w:hAnsi="Microsoft YaHei"/>
                <w:sz w:val="18"/>
              </w:rPr>
              <w:t xml:space="preserve">上方 </w:t>
            </w:r>
            <w:r>
              <w:rPr>
                <w:rFonts w:ascii="Microsoft YaHei" w:hAnsi="Microsoft YaHei"/>
                <w:b/>
                <w:color w:val="1A1A1A"/>
                <w:sz w:val="18"/>
              </w:rPr>
              <w:t>1.8%</w:t>
            </w:r>
          </w:p>
        </w:tc>
      </w:tr>
      <w:tr>
        <w:tc>
          <w:tcPr>
            <w:tcW w:type="dxa" w:w="3022"/>
          </w:tcPr>
          <w:p>
            <w:pPr>
              <w:spacing w:before="40" w:after="40" w:line="288" w:lineRule="auto"/>
            </w:pPr>
            <w:r/>
            <w:r>
              <w:rPr>
                <w:rFonts w:ascii="Microsoft YaHei" w:hAnsi="Microsoft YaHei"/>
                <w:sz w:val="18"/>
              </w:rPr>
              <w:t>MA20 / 布林中轨</w:t>
            </w:r>
          </w:p>
        </w:tc>
        <w:tc>
          <w:tcPr>
            <w:tcW w:type="dxa" w:w="3022"/>
          </w:tcPr>
          <w:p>
            <w:pPr>
              <w:spacing w:before="40" w:after="40" w:line="288" w:lineRule="auto"/>
            </w:pPr>
            <w:r/>
            <w:r>
              <w:rPr>
                <w:rFonts w:ascii="Microsoft YaHei" w:hAnsi="Microsoft YaHei"/>
                <w:sz w:val="18"/>
              </w:rPr>
              <w:t>4.39 元</w:t>
            </w:r>
          </w:p>
        </w:tc>
        <w:tc>
          <w:tcPr>
            <w:tcW w:type="dxa" w:w="3022"/>
          </w:tcPr>
          <w:p>
            <w:pPr>
              <w:spacing w:before="40" w:after="40" w:line="288" w:lineRule="auto"/>
            </w:pPr>
            <w:r/>
            <w:r>
              <w:rPr>
                <w:rFonts w:ascii="Microsoft YaHei" w:hAnsi="Microsoft YaHei"/>
                <w:sz w:val="18"/>
              </w:rPr>
              <w:t xml:space="preserve">上方 </w:t>
            </w:r>
            <w:r>
              <w:rPr>
                <w:rFonts w:ascii="Microsoft YaHei" w:hAnsi="Microsoft YaHei"/>
                <w:b/>
                <w:color w:val="1A1A1A"/>
                <w:sz w:val="18"/>
              </w:rPr>
              <w:t>5.9%</w:t>
            </w:r>
          </w:p>
        </w:tc>
      </w:tr>
      <w:tr>
        <w:tc>
          <w:tcPr>
            <w:tcW w:type="dxa" w:w="3022"/>
            <w:shd w:fill="F8F9FA" w:val="clear"/>
          </w:tcPr>
          <w:p>
            <w:pPr>
              <w:spacing w:before="40" w:after="40" w:line="288" w:lineRule="auto"/>
            </w:pPr>
            <w:r/>
            <w:r>
              <w:rPr>
                <w:rFonts w:ascii="Microsoft YaHei" w:hAnsi="Microsoft YaHei"/>
                <w:sz w:val="18"/>
              </w:rPr>
              <w:t>布林带上轨</w:t>
            </w:r>
          </w:p>
        </w:tc>
        <w:tc>
          <w:tcPr>
            <w:tcW w:type="dxa" w:w="3022"/>
            <w:shd w:fill="F8F9FA" w:val="clear"/>
          </w:tcPr>
          <w:p>
            <w:pPr>
              <w:spacing w:before="40" w:after="40" w:line="288" w:lineRule="auto"/>
            </w:pPr>
            <w:r/>
            <w:r>
              <w:rPr>
                <w:rFonts w:ascii="Microsoft YaHei" w:hAnsi="Microsoft YaHei"/>
                <w:sz w:val="18"/>
              </w:rPr>
              <w:t>4.81 元</w:t>
            </w:r>
          </w:p>
        </w:tc>
        <w:tc>
          <w:tcPr>
            <w:tcW w:type="dxa" w:w="3022"/>
            <w:shd w:fill="F8F9FA" w:val="clear"/>
          </w:tcPr>
          <w:p>
            <w:pPr>
              <w:spacing w:before="40" w:after="40" w:line="288" w:lineRule="auto"/>
            </w:pPr>
            <w:r/>
            <w:r>
              <w:rPr>
                <w:rFonts w:ascii="Microsoft YaHei" w:hAnsi="Microsoft YaHei"/>
                <w:sz w:val="18"/>
              </w:rPr>
              <w:t xml:space="preserve">下方 </w:t>
            </w:r>
            <w:r>
              <w:rPr>
                <w:rFonts w:ascii="Microsoft YaHei" w:hAnsi="Microsoft YaHei"/>
                <w:b/>
                <w:color w:val="1A1A1A"/>
                <w:sz w:val="18"/>
              </w:rPr>
              <w:t>3.4%</w:t>
            </w:r>
          </w:p>
        </w:tc>
      </w:tr>
      <w:tr>
        <w:tc>
          <w:tcPr>
            <w:tcW w:type="dxa" w:w="3022"/>
          </w:tcPr>
          <w:p>
            <w:pPr>
              <w:spacing w:before="40" w:after="40" w:line="288" w:lineRule="auto"/>
            </w:pPr>
            <w:r/>
            <w:r>
              <w:rPr>
                <w:rFonts w:ascii="Microsoft YaHei" w:hAnsi="Microsoft YaHei"/>
                <w:sz w:val="18"/>
              </w:rPr>
              <w:t>布林带下轨</w:t>
            </w:r>
          </w:p>
        </w:tc>
        <w:tc>
          <w:tcPr>
            <w:tcW w:type="dxa" w:w="3022"/>
          </w:tcPr>
          <w:p>
            <w:pPr>
              <w:spacing w:before="40" w:after="40" w:line="288" w:lineRule="auto"/>
            </w:pPr>
            <w:r/>
            <w:r>
              <w:rPr>
                <w:rFonts w:ascii="Microsoft YaHei" w:hAnsi="Microsoft YaHei"/>
                <w:sz w:val="18"/>
              </w:rPr>
              <w:t>3.97 元</w:t>
            </w:r>
          </w:p>
        </w:tc>
        <w:tc>
          <w:tcPr>
            <w:tcW w:type="dxa" w:w="3022"/>
          </w:tcPr>
          <w:p>
            <w:pPr>
              <w:spacing w:before="40" w:after="40" w:line="288" w:lineRule="auto"/>
            </w:pPr>
            <w:r/>
            <w:r>
              <w:rPr>
                <w:rFonts w:ascii="Microsoft YaHei" w:hAnsi="Microsoft YaHei"/>
                <w:sz w:val="18"/>
              </w:rPr>
              <w:t>—</w:t>
            </w:r>
          </w:p>
        </w:tc>
      </w:tr>
    </w:tbl>
    <w:p/>
    <w:p>
      <w:r>
        <w:rPr>
          <w:rFonts w:ascii="Microsoft YaHei" w:hAnsi="Microsoft YaHei"/>
          <w:b/>
          <w:color w:val="1A1A1A"/>
        </w:rPr>
        <w:t>技术面解读：</w:t>
      </w:r>
    </w:p>
    <w:p>
      <w:pPr>
        <w:pStyle w:val="ListNumber"/>
      </w:pPr>
      <w:r>
        <w:rPr>
          <w:rFonts w:ascii="Microsoft YaHei" w:hAnsi="Microsoft YaHei"/>
        </w:rPr>
        <w:t xml:space="preserve">股价站上 </w:t>
      </w:r>
      <w:r>
        <w:rPr>
          <w:rFonts w:ascii="Microsoft YaHei" w:hAnsi="Microsoft YaHei"/>
          <w:b/>
          <w:color w:val="1A1A1A"/>
        </w:rPr>
        <w:t>MA10（4.57）</w:t>
      </w:r>
      <w:r>
        <w:rPr>
          <w:rFonts w:ascii="Microsoft YaHei" w:hAnsi="Microsoft YaHei"/>
        </w:rPr>
        <w:t xml:space="preserve"> 和 </w:t>
      </w:r>
      <w:r>
        <w:rPr>
          <w:rFonts w:ascii="Microsoft YaHei" w:hAnsi="Microsoft YaHei"/>
          <w:b/>
          <w:color w:val="1A1A1A"/>
        </w:rPr>
        <w:t>MA20（4.39）</w:t>
      </w:r>
      <w:r>
        <w:rPr>
          <w:rFonts w:ascii="Microsoft YaHei" w:hAnsi="Microsoft YaHei"/>
        </w:rPr>
        <w:t xml:space="preserve">，且偏离MA20达 </w:t>
      </w:r>
      <w:r>
        <w:rPr>
          <w:rFonts w:ascii="Microsoft YaHei" w:hAnsi="Microsoft YaHei"/>
          <w:b/>
          <w:color w:val="1A1A1A"/>
        </w:rPr>
        <w:t>5.9%</w:t>
      </w:r>
      <w:r>
        <w:rPr>
          <w:rFonts w:ascii="Microsoft YaHei" w:hAnsi="Microsoft YaHei"/>
        </w:rPr>
        <w:t>，呈现中短期多头排列雏形。</w:t>
      </w:r>
    </w:p>
    <w:p>
      <w:pPr>
        <w:pStyle w:val="ListNumber"/>
      </w:pPr>
      <w:r>
        <w:rPr>
          <w:rFonts w:ascii="Microsoft YaHei" w:hAnsi="Microsoft YaHei"/>
        </w:rPr>
        <w:t>当前价略低于MA5（4.69）约0.8%，说明短线存在一定的均线引力，但差距极小，突破概率较高。</w:t>
      </w:r>
    </w:p>
    <w:p>
      <w:pPr>
        <w:pStyle w:val="ListNumber"/>
      </w:pPr>
      <w:r>
        <w:rPr>
          <w:rFonts w:ascii="Microsoft YaHei" w:hAnsi="Microsoft YaHei"/>
        </w:rPr>
        <w:t xml:space="preserve">布林带中轨上行，股价运行于中轨与上轨之间，属 </w:t>
      </w:r>
      <w:r>
        <w:rPr>
          <w:rFonts w:ascii="Microsoft YaHei" w:hAnsi="Microsoft YaHei"/>
          <w:b/>
          <w:color w:val="1A1A1A"/>
        </w:rPr>
        <w:t>强势区间</w:t>
      </w:r>
      <w:r>
        <w:rPr>
          <w:rFonts w:ascii="Microsoft YaHei" w:hAnsi="Microsoft YaHei"/>
        </w:rPr>
        <w:t xml:space="preserve">。距上轨（4.81）尚有约 </w:t>
      </w:r>
      <w:r>
        <w:rPr>
          <w:rFonts w:ascii="Microsoft YaHei" w:hAnsi="Microsoft YaHei"/>
          <w:b/>
          <w:color w:val="1A1A1A"/>
        </w:rPr>
        <w:t>3.4%</w:t>
      </w:r>
      <w:r>
        <w:rPr>
          <w:rFonts w:ascii="Microsoft YaHei" w:hAnsi="Microsoft YaHei"/>
        </w:rPr>
        <w:t xml:space="preserve"> 的空间，上行仍有技术空间。</w:t>
      </w:r>
    </w:p>
    <w:p>
      <w:pPr>
        <w:pStyle w:val="ListNumber"/>
      </w:pPr>
      <w:r>
        <w:rPr>
          <w:rFonts w:ascii="Microsoft YaHei" w:hAnsi="Microsoft YaHei"/>
        </w:rPr>
        <w:t xml:space="preserve">今日盘中最高触及 </w:t>
      </w:r>
      <w:r>
        <w:rPr>
          <w:rFonts w:ascii="Microsoft YaHei" w:hAnsi="Microsoft YaHei"/>
          <w:b/>
          <w:color w:val="1A1A1A"/>
        </w:rPr>
        <w:t>4.66元</w:t>
      </w:r>
      <w:r>
        <w:rPr>
          <w:rFonts w:ascii="Microsoft YaHei" w:hAnsi="Microsoft YaHei"/>
        </w:rPr>
        <w:t>，已接近MA5附近，午盘若量能配合，有望继续向上测试。</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重大利好：签约科威特224亿元国际大单</w:t>
      </w:r>
    </w:p>
    <w:p>
      <w:r>
        <w:rPr>
          <w:rFonts w:ascii="Microsoft YaHei" w:hAnsi="Microsoft YaHei"/>
        </w:rPr>
        <w:t xml:space="preserve">&gt; </w:t>
      </w:r>
      <w:r>
        <w:rPr>
          <w:rFonts w:ascii="Microsoft YaHei" w:hAnsi="Microsoft YaHei"/>
          <w:b/>
          <w:color w:val="1A1A1A"/>
        </w:rPr>
        <w:t>中国建筑公告</w:t>
      </w:r>
      <w:r>
        <w:rPr>
          <w:rFonts w:ascii="Microsoft YaHei" w:hAnsi="Microsoft YaHei"/>
        </w:rPr>
        <w:t>：公司近日与科威特公共工程部签署科威特北卡巴德污水处理厂及配套项目合同，</w:t>
      </w:r>
      <w:r>
        <w:rPr>
          <w:rFonts w:ascii="Microsoft YaHei" w:hAnsi="Microsoft YaHei"/>
          <w:b/>
          <w:color w:val="1A1A1A"/>
        </w:rPr>
        <w:t>合同金额约224亿元</w:t>
      </w:r>
      <w:r>
        <w:rPr>
          <w:rFonts w:ascii="Microsoft YaHei" w:hAnsi="Microsoft YaHei"/>
        </w:rPr>
        <w:t xml:space="preserve">，约占公司2025年度经审计营业收入的 </w:t>
      </w:r>
      <w:r>
        <w:rPr>
          <w:rFonts w:ascii="Microsoft YaHei" w:hAnsi="Microsoft YaHei"/>
          <w:b/>
          <w:color w:val="1A1A1A"/>
        </w:rPr>
        <w:t>1.1%</w:t>
      </w:r>
      <w:r>
        <w:rPr>
          <w:rFonts w:ascii="Microsoft YaHei" w:hAnsi="Microsoft YaHei"/>
        </w:rPr>
        <w:t xml:space="preserve">。项目采用 </w:t>
      </w:r>
      <w:r>
        <w:rPr>
          <w:rFonts w:ascii="Microsoft YaHei" w:hAnsi="Microsoft YaHei"/>
          <w:b/>
          <w:color w:val="1A1A1A"/>
        </w:rPr>
        <w:t>EPC+OM模式</w:t>
      </w:r>
      <w:r>
        <w:rPr>
          <w:rFonts w:ascii="Microsoft YaHei" w:hAnsi="Microsoft YaHei"/>
        </w:rPr>
        <w:t>（设计采购施工+运营维护），建设期5年，维保和运营期5年。</w:t>
      </w:r>
    </w:p>
    <w:p>
      <w:r>
        <w:rPr>
          <w:rFonts w:ascii="Microsoft YaHei" w:hAnsi="Microsoft YaHei"/>
          <w:b/>
          <w:color w:val="1A1A1A"/>
        </w:rPr>
        <w:t>影响分析：</w:t>
      </w:r>
    </w:p>
    <w:p>
      <w:pPr>
        <w:pStyle w:val="ListBullet"/>
      </w:pPr>
      <w:r>
        <w:rPr>
          <w:rFonts w:ascii="Microsoft YaHei" w:hAnsi="Microsoft YaHei"/>
          <w:b/>
          <w:color w:val="1A1A1A"/>
        </w:rPr>
        <w:t>金额重大</w:t>
      </w:r>
      <w:r>
        <w:rPr>
          <w:rFonts w:ascii="Microsoft YaHei" w:hAnsi="Microsoft YaHei"/>
        </w:rPr>
        <w:t>：224亿元合同在单个项目中体量可观，对营收形成实质性增量贡献。</w:t>
      </w:r>
    </w:p>
    <w:p>
      <w:pPr>
        <w:pStyle w:val="ListBullet"/>
      </w:pPr>
      <w:r>
        <w:rPr>
          <w:rFonts w:ascii="Microsoft YaHei" w:hAnsi="Microsoft YaHei"/>
          <w:b/>
          <w:color w:val="1A1A1A"/>
        </w:rPr>
        <w:t>模式升级</w:t>
      </w:r>
      <w:r>
        <w:rPr>
          <w:rFonts w:ascii="Microsoft YaHei" w:hAnsi="Microsoft YaHei"/>
        </w:rPr>
        <w:t>：EPC+OM模式不仅覆盖工程建设，更延伸至运营维护阶段，有助于提升项目利润率与长期现金流稳定性。</w:t>
      </w:r>
    </w:p>
    <w:p>
      <w:pPr>
        <w:pStyle w:val="ListBullet"/>
      </w:pPr>
      <w:r>
        <w:rPr>
          <w:rFonts w:ascii="Microsoft YaHei" w:hAnsi="Microsoft YaHei"/>
          <w:b/>
          <w:color w:val="1A1A1A"/>
        </w:rPr>
        <w:t>国际竞争力</w:t>
      </w:r>
      <w:r>
        <w:rPr>
          <w:rFonts w:ascii="Microsoft YaHei" w:hAnsi="Microsoft YaHei"/>
        </w:rPr>
        <w:t>：该合同的获取进一步验证了公司在海外大型基础设施项目的承揽能力，有助于提升在中东市场的品牌影响力。</w:t>
      </w:r>
    </w:p>
    <w:p>
      <w:pPr>
        <w:pStyle w:val="ListBullet"/>
      </w:pPr>
      <w:r>
        <w:rPr>
          <w:rFonts w:ascii="Microsoft YaHei" w:hAnsi="Microsoft YaHei"/>
          <w:b/>
          <w:color w:val="1A1A1A"/>
        </w:rPr>
        <w:t>环保赛道</w:t>
      </w:r>
      <w:r>
        <w:rPr>
          <w:rFonts w:ascii="Microsoft YaHei" w:hAnsi="Microsoft YaHei"/>
        </w:rPr>
        <w:t>：项目为污水处理厂配套工程，契合全球ESG投资趋势，利好公司在环保基建领域的形象塑造。</w:t>
      </w:r>
    </w:p>
    <w:p>
      <w:r>
        <w:rPr>
          <w:rFonts w:ascii="Microsoft YaHei" w:hAnsi="Microsoft YaHei"/>
          <w:b/>
          <w:color w:val="1A1A1A"/>
        </w:rPr>
        <w:t>综合判断：该消息为短期股价的</w:t>
      </w:r>
      <w:r>
        <w:rPr>
          <w:rFonts w:ascii="Microsoft YaHei" w:hAnsi="Microsoft YaHei"/>
        </w:rPr>
        <w:t>核心催化剂</w:t>
      </w:r>
      <w:r>
        <w:rPr>
          <w:rFonts w:ascii="Microsoft YaHei" w:hAnsi="Microsoft YaHei"/>
          <w:b/>
          <w:color w:val="1A1A1A"/>
        </w:rPr>
        <w:t>，也是今日放量上涨的主要驱动力。</w:t>
      </w:r>
    </w:p>
    <w:p>
      <w:pPr>
        <w:spacing w:before="280" w:after="80" w:line="312" w:lineRule="auto"/>
      </w:pPr>
      <w:r>
        <w:rPr>
          <w:rFonts w:ascii="Microsoft YaHei" w:hAnsi="Microsoft YaHei"/>
          <w:b/>
          <w:color w:val="333333"/>
          <w:sz w:val="24"/>
        </w:rPr>
        <w:t>辅助信息：上海杨浦地块高价成交</w:t>
      </w:r>
    </w:p>
    <w:p>
      <w:r>
        <w:rPr>
          <w:rFonts w:ascii="Microsoft YaHei" w:hAnsi="Microsoft YaHei"/>
        </w:rPr>
        <w:t xml:space="preserve">保利发展、华润置地联合体以 </w:t>
      </w:r>
      <w:r>
        <w:rPr>
          <w:rFonts w:ascii="Microsoft YaHei" w:hAnsi="Microsoft YaHei"/>
          <w:b/>
          <w:color w:val="1A1A1A"/>
        </w:rPr>
        <w:t>161.2亿元</w:t>
      </w:r>
      <w:r>
        <w:rPr>
          <w:rFonts w:ascii="Microsoft YaHei" w:hAnsi="Microsoft YaHei"/>
        </w:rPr>
        <w:t xml:space="preserve"> 竞得上海杨浦八埭头地块，溢价率 </w:t>
      </w:r>
      <w:r>
        <w:rPr>
          <w:rFonts w:ascii="Microsoft YaHei" w:hAnsi="Microsoft YaHei"/>
          <w:b/>
          <w:color w:val="1A1A1A"/>
        </w:rPr>
        <w:t>35.83%</w:t>
      </w:r>
      <w:r>
        <w:rPr>
          <w:rFonts w:ascii="Microsoft YaHei" w:hAnsi="Microsoft YaHei"/>
        </w:rPr>
        <w:t xml:space="preserve">。虽然与中国建筑无直接关联，但土地市场热度回升对 </w:t>
      </w:r>
      <w:r>
        <w:rPr>
          <w:rFonts w:ascii="Microsoft YaHei" w:hAnsi="Microsoft YaHei"/>
          <w:b/>
          <w:color w:val="1A1A1A"/>
        </w:rPr>
        <w:t>房建</w:t>
      </w:r>
      <w:r>
        <w:rPr>
          <w:rFonts w:ascii="Microsoft YaHei" w:hAnsi="Microsoft YaHei"/>
        </w:rPr>
        <w:t>、</w:t>
      </w:r>
      <w:r>
        <w:rPr>
          <w:rFonts w:ascii="Microsoft YaHei" w:hAnsi="Microsoft YaHei"/>
          <w:b/>
          <w:color w:val="1A1A1A"/>
        </w:rPr>
        <w:t>建筑施工</w:t>
      </w:r>
      <w:r>
        <w:rPr>
          <w:rFonts w:ascii="Microsoft YaHei" w:hAnsi="Microsoft YaHei"/>
        </w:rPr>
        <w:t xml:space="preserve"> 等建筑下游需求具有积极信号意义，间接利好行业整体情绪。</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所属板块</w:t>
            </w:r>
          </w:p>
        </w:tc>
        <w:tc>
          <w:tcPr>
            <w:tcW w:type="dxa" w:w="2266"/>
            <w:shd w:fill="F6F8FA" w:val="clear"/>
          </w:tcPr>
          <w:p>
            <w:pPr>
              <w:spacing w:before="40" w:after="40" w:line="288" w:lineRule="auto"/>
            </w:pPr>
            <w:r/>
            <w:r>
              <w:rPr>
                <w:rFonts w:ascii="Microsoft YaHei" w:hAnsi="Microsoft YaHei"/>
                <w:b/>
                <w:color w:val="1A1A1A"/>
                <w:sz w:val="18"/>
              </w:rPr>
              <w:t>板块涨跌幅</w:t>
            </w:r>
          </w:p>
        </w:tc>
        <w:tc>
          <w:tcPr>
            <w:tcW w:type="dxa" w:w="2266"/>
            <w:shd w:fill="F6F8FA" w:val="clear"/>
          </w:tcPr>
          <w:p>
            <w:pPr>
              <w:spacing w:before="40" w:after="40" w:line="288" w:lineRule="auto"/>
            </w:pPr>
            <w:r/>
            <w:r>
              <w:rPr>
                <w:rFonts w:ascii="Microsoft YaHei" w:hAnsi="Microsoft YaHei"/>
                <w:b/>
                <w:color w:val="1A1A1A"/>
                <w:sz w:val="18"/>
              </w:rPr>
              <w:t>板块内排名</w:t>
            </w:r>
          </w:p>
        </w:tc>
        <w:tc>
          <w:tcPr>
            <w:tcW w:type="dxa" w:w="2266"/>
            <w:shd w:fill="F6F8FA" w:val="clear"/>
          </w:tcPr>
          <w:p>
            <w:pPr>
              <w:spacing w:before="40" w:after="40" w:line="288" w:lineRule="auto"/>
            </w:pPr>
            <w:r/>
            <w:r>
              <w:rPr>
                <w:rFonts w:ascii="Microsoft YaHei" w:hAnsi="Microsoft YaHei"/>
                <w:b/>
                <w:color w:val="1A1A1A"/>
                <w:sz w:val="18"/>
              </w:rPr>
              <w:t>表现评价</w:t>
            </w:r>
          </w:p>
        </w:tc>
      </w:tr>
      <w:tr>
        <w:tc>
          <w:tcPr>
            <w:tcW w:type="dxa" w:w="2266"/>
          </w:tcPr>
          <w:p>
            <w:pPr>
              <w:spacing w:before="40" w:after="40" w:line="288" w:lineRule="auto"/>
            </w:pPr>
            <w:r/>
            <w:r>
              <w:rPr>
                <w:rFonts w:ascii="Microsoft YaHei" w:hAnsi="Microsoft YaHei"/>
                <w:sz w:val="18"/>
              </w:rPr>
              <w:t>建筑与工程Ⅲ</w:t>
            </w:r>
          </w:p>
        </w:tc>
        <w:tc>
          <w:tcPr>
            <w:tcW w:type="dxa" w:w="2266"/>
          </w:tcPr>
          <w:p>
            <w:pPr>
              <w:spacing w:before="40" w:after="40" w:line="288" w:lineRule="auto"/>
            </w:pPr>
            <w:r/>
            <w:r>
              <w:rPr>
                <w:rFonts w:ascii="Microsoft YaHei" w:hAnsi="Microsoft YaHei"/>
                <w:b/>
                <w:color w:val="1A1A1A"/>
                <w:sz w:val="18"/>
              </w:rPr>
              <w:t>-2.93%</w:t>
            </w:r>
          </w:p>
        </w:tc>
        <w:tc>
          <w:tcPr>
            <w:tcW w:type="dxa" w:w="2266"/>
          </w:tcPr>
          <w:p>
            <w:pPr>
              <w:spacing w:before="40" w:after="40" w:line="288" w:lineRule="auto"/>
            </w:pPr>
            <w:r/>
            <w:r>
              <w:rPr>
                <w:rFonts w:ascii="Microsoft YaHei" w:hAnsi="Microsoft YaHei"/>
                <w:sz w:val="18"/>
              </w:rPr>
              <w:t>8/108</w:t>
            </w:r>
          </w:p>
        </w:tc>
        <w:tc>
          <w:tcPr>
            <w:tcW w:type="dxa" w:w="2266"/>
          </w:tcPr>
          <w:p>
            <w:pPr>
              <w:spacing w:before="40" w:after="40" w:line="288" w:lineRule="auto"/>
            </w:pPr>
            <w:r/>
            <w:r>
              <w:rPr>
                <w:rFonts w:ascii="Microsoft YaHei" w:hAnsi="Microsoft YaHei"/>
                <w:sz w:val="18"/>
              </w:rPr>
              <w:t>⭐ 远强于板块均值</w:t>
            </w:r>
          </w:p>
        </w:tc>
      </w:tr>
      <w:tr>
        <w:tc>
          <w:tcPr>
            <w:tcW w:type="dxa" w:w="2266"/>
            <w:shd w:fill="F8F9FA" w:val="clear"/>
          </w:tcPr>
          <w:p>
            <w:pPr>
              <w:spacing w:before="40" w:after="40" w:line="288" w:lineRule="auto"/>
            </w:pPr>
            <w:r/>
            <w:r>
              <w:rPr>
                <w:rFonts w:ascii="Microsoft YaHei" w:hAnsi="Microsoft YaHei"/>
                <w:sz w:val="18"/>
              </w:rPr>
              <w:t>工业(A股)</w:t>
            </w:r>
          </w:p>
        </w:tc>
        <w:tc>
          <w:tcPr>
            <w:tcW w:type="dxa" w:w="2266"/>
            <w:shd w:fill="F8F9FA" w:val="clear"/>
          </w:tcPr>
          <w:p>
            <w:pPr>
              <w:spacing w:before="40" w:after="40" w:line="288" w:lineRule="auto"/>
            </w:pPr>
            <w:r/>
            <w:r>
              <w:rPr>
                <w:rFonts w:ascii="Microsoft YaHei" w:hAnsi="Microsoft YaHei"/>
                <w:sz w:val="18"/>
              </w:rPr>
              <w:t>-2.77%</w:t>
            </w:r>
          </w:p>
        </w:tc>
        <w:tc>
          <w:tcPr>
            <w:tcW w:type="dxa" w:w="2266"/>
            <w:shd w:fill="F8F9FA" w:val="clear"/>
          </w:tcPr>
          <w:p>
            <w:pPr>
              <w:spacing w:before="40" w:after="40" w:line="288" w:lineRule="auto"/>
            </w:pPr>
            <w:r/>
            <w:r>
              <w:rPr>
                <w:rFonts w:ascii="Microsoft YaHei" w:hAnsi="Microsoft YaHei"/>
                <w:sz w:val="18"/>
              </w:rPr>
              <w:t>109/1209</w:t>
            </w:r>
          </w:p>
        </w:tc>
        <w:tc>
          <w:tcPr>
            <w:tcW w:type="dxa" w:w="2266"/>
            <w:shd w:fill="F8F9FA" w:val="clear"/>
          </w:tcPr>
          <w:p>
            <w:pPr>
              <w:spacing w:before="40" w:after="40" w:line="288" w:lineRule="auto"/>
            </w:pPr>
            <w:r/>
            <w:r>
              <w:rPr>
                <w:rFonts w:ascii="Microsoft YaHei" w:hAnsi="Microsoft YaHei"/>
                <w:sz w:val="18"/>
              </w:rPr>
              <w:t>⭐ 领先板块多数个股</w:t>
            </w:r>
          </w:p>
        </w:tc>
      </w:tr>
      <w:tr>
        <w:tc>
          <w:tcPr>
            <w:tcW w:type="dxa" w:w="2266"/>
          </w:tcPr>
          <w:p>
            <w:pPr>
              <w:spacing w:before="40" w:after="40" w:line="288" w:lineRule="auto"/>
            </w:pPr>
            <w:r/>
            <w:r>
              <w:rPr>
                <w:rFonts w:ascii="Microsoft YaHei" w:hAnsi="Microsoft YaHei"/>
                <w:sz w:val="18"/>
              </w:rPr>
              <w:t>沪深300样本股</w:t>
            </w:r>
          </w:p>
        </w:tc>
        <w:tc>
          <w:tcPr>
            <w:tcW w:type="dxa" w:w="2266"/>
          </w:tcPr>
          <w:p>
            <w:pPr>
              <w:spacing w:before="40" w:after="40" w:line="288" w:lineRule="auto"/>
            </w:pPr>
            <w:r/>
            <w:r>
              <w:rPr>
                <w:rFonts w:ascii="Microsoft YaHei" w:hAnsi="Microsoft YaHei"/>
                <w:b/>
                <w:color w:val="1A1A1A"/>
                <w:sz w:val="18"/>
              </w:rPr>
              <w:t>+1.57%</w:t>
            </w:r>
          </w:p>
        </w:tc>
        <w:tc>
          <w:tcPr>
            <w:tcW w:type="dxa" w:w="2266"/>
          </w:tcPr>
          <w:p>
            <w:pPr>
              <w:spacing w:before="40" w:after="40" w:line="288" w:lineRule="auto"/>
            </w:pPr>
            <w:r/>
            <w:r>
              <w:rPr>
                <w:rFonts w:ascii="Microsoft YaHei" w:hAnsi="Microsoft YaHei"/>
                <w:sz w:val="18"/>
              </w:rPr>
              <w:t>136/319</w:t>
            </w:r>
          </w:p>
        </w:tc>
        <w:tc>
          <w:tcPr>
            <w:tcW w:type="dxa" w:w="2266"/>
          </w:tcPr>
          <w:p>
            <w:pPr>
              <w:spacing w:before="40" w:after="40" w:line="288" w:lineRule="auto"/>
            </w:pPr>
            <w:r/>
            <w:r>
              <w:rPr>
                <w:rFonts w:ascii="Microsoft YaHei" w:hAnsi="Microsoft YaHei"/>
                <w:sz w:val="18"/>
              </w:rPr>
              <w:t>中上水平</w:t>
            </w:r>
          </w:p>
        </w:tc>
      </w:tr>
      <w:tr>
        <w:tc>
          <w:tcPr>
            <w:tcW w:type="dxa" w:w="2266"/>
            <w:shd w:fill="F8F9FA" w:val="clear"/>
          </w:tcPr>
          <w:p>
            <w:pPr>
              <w:spacing w:before="40" w:after="40" w:line="288" w:lineRule="auto"/>
            </w:pPr>
            <w:r/>
            <w:r>
              <w:rPr>
                <w:rFonts w:ascii="Microsoft YaHei" w:hAnsi="Microsoft YaHei"/>
                <w:sz w:val="18"/>
              </w:rPr>
              <w:t>上证50样本股</w:t>
            </w:r>
          </w:p>
        </w:tc>
        <w:tc>
          <w:tcPr>
            <w:tcW w:type="dxa" w:w="2266"/>
            <w:shd w:fill="F8F9FA" w:val="clear"/>
          </w:tcPr>
          <w:p>
            <w:pPr>
              <w:spacing w:before="40" w:after="40" w:line="288" w:lineRule="auto"/>
            </w:pPr>
            <w:r/>
            <w:r>
              <w:rPr>
                <w:rFonts w:ascii="Microsoft YaHei" w:hAnsi="Microsoft YaHei"/>
                <w:b/>
                <w:color w:val="1A1A1A"/>
                <w:sz w:val="18"/>
              </w:rPr>
              <w:t>+3.11%</w:t>
            </w:r>
          </w:p>
        </w:tc>
        <w:tc>
          <w:tcPr>
            <w:tcW w:type="dxa" w:w="2266"/>
            <w:shd w:fill="F8F9FA" w:val="clear"/>
          </w:tcPr>
          <w:p>
            <w:pPr>
              <w:spacing w:before="40" w:after="40" w:line="288" w:lineRule="auto"/>
            </w:pPr>
            <w:r/>
            <w:r>
              <w:rPr>
                <w:rFonts w:ascii="Microsoft YaHei" w:hAnsi="Microsoft YaHei"/>
                <w:sz w:val="18"/>
              </w:rPr>
              <w:t>39/55</w:t>
            </w:r>
          </w:p>
        </w:tc>
        <w:tc>
          <w:tcPr>
            <w:tcW w:type="dxa" w:w="2266"/>
            <w:shd w:fill="F8F9FA" w:val="clear"/>
          </w:tcPr>
          <w:p>
            <w:pPr>
              <w:spacing w:before="40" w:after="40" w:line="288" w:lineRule="auto"/>
            </w:pPr>
            <w:r/>
            <w:r>
              <w:rPr>
                <w:rFonts w:ascii="Microsoft YaHei" w:hAnsi="Microsoft YaHei"/>
                <w:sz w:val="18"/>
              </w:rPr>
              <w:t>中位偏后</w:t>
            </w:r>
          </w:p>
        </w:tc>
      </w:tr>
      <w:tr>
        <w:tc>
          <w:tcPr>
            <w:tcW w:type="dxa" w:w="2266"/>
          </w:tcPr>
          <w:p>
            <w:pPr>
              <w:spacing w:before="40" w:after="40" w:line="288" w:lineRule="auto"/>
            </w:pPr>
            <w:r/>
            <w:r>
              <w:rPr>
                <w:rFonts w:ascii="Microsoft YaHei" w:hAnsi="Microsoft YaHei"/>
                <w:sz w:val="18"/>
              </w:rPr>
              <w:t>融资融券</w:t>
            </w:r>
          </w:p>
        </w:tc>
        <w:tc>
          <w:tcPr>
            <w:tcW w:type="dxa" w:w="2266"/>
          </w:tcPr>
          <w:p>
            <w:pPr>
              <w:spacing w:before="40" w:after="40" w:line="288" w:lineRule="auto"/>
            </w:pPr>
            <w:r/>
            <w:r>
              <w:rPr>
                <w:rFonts w:ascii="Microsoft YaHei" w:hAnsi="Microsoft YaHei"/>
                <w:sz w:val="18"/>
              </w:rPr>
              <w:t>-1.92%</w:t>
            </w:r>
          </w:p>
        </w:tc>
        <w:tc>
          <w:tcPr>
            <w:tcW w:type="dxa" w:w="2266"/>
          </w:tcPr>
          <w:p>
            <w:pPr>
              <w:spacing w:before="40" w:after="40" w:line="288" w:lineRule="auto"/>
            </w:pPr>
            <w:r/>
            <w:r>
              <w:rPr>
                <w:rFonts w:ascii="Microsoft YaHei" w:hAnsi="Microsoft YaHei"/>
                <w:sz w:val="18"/>
              </w:rPr>
              <w:t>543/3516</w:t>
            </w:r>
          </w:p>
        </w:tc>
        <w:tc>
          <w:tcPr>
            <w:tcW w:type="dxa" w:w="2266"/>
          </w:tcPr>
          <w:p>
            <w:pPr>
              <w:spacing w:before="40" w:after="40" w:line="288" w:lineRule="auto"/>
            </w:pPr>
            <w:r/>
            <w:r>
              <w:rPr>
                <w:rFonts w:ascii="Microsoft YaHei" w:hAnsi="Microsoft YaHei"/>
                <w:sz w:val="18"/>
              </w:rPr>
              <w:t>表现优异</w:t>
            </w:r>
          </w:p>
        </w:tc>
      </w:tr>
    </w:tbl>
    <w:p/>
    <w:p>
      <w:r>
        <w:rPr>
          <w:rFonts w:ascii="Microsoft YaHei" w:hAnsi="Microsoft YaHei"/>
        </w:rPr>
        <w:t xml:space="preserve">行业内领涨个股还包括中油工程（+5.05%）、四川路桥（+4.37%）、中国交建（+2.80%），显示 </w:t>
      </w:r>
      <w:r>
        <w:rPr>
          <w:rFonts w:ascii="Microsoft YaHei" w:hAnsi="Microsoft YaHei"/>
          <w:b/>
          <w:color w:val="1A1A1A"/>
        </w:rPr>
        <w:t>建筑央企板块存在联动效应</w:t>
      </w:r>
      <w:r>
        <w:rPr>
          <w:rFonts w:ascii="Microsoft YaHei" w:hAnsi="Microsoft YaHei"/>
        </w:rPr>
        <w:t>，中国建筑作为板块龙头之一，受益于整体板块情绪回暖。</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维度</w:t>
            </w:r>
          </w:p>
        </w:tc>
        <w:tc>
          <w:tcPr>
            <w:tcW w:type="dxa" w:w="3022"/>
            <w:shd w:fill="F6F8FA" w:val="clear"/>
          </w:tcPr>
          <w:p>
            <w:pPr>
              <w:spacing w:before="40" w:after="40" w:line="288" w:lineRule="auto"/>
            </w:pPr>
            <w:r/>
            <w:r>
              <w:rPr>
                <w:rFonts w:ascii="Microsoft YaHei" w:hAnsi="Microsoft YaHei"/>
                <w:b/>
                <w:color w:val="1A1A1A"/>
                <w:sz w:val="18"/>
              </w:rPr>
              <w:t>评级</w:t>
            </w:r>
          </w:p>
        </w:tc>
        <w:tc>
          <w:tcPr>
            <w:tcW w:type="dxa" w:w="3022"/>
            <w:shd w:fill="F6F8FA" w:val="clear"/>
          </w:tcPr>
          <w:p>
            <w:pPr>
              <w:spacing w:before="40" w:after="40" w:line="288" w:lineRule="auto"/>
            </w:pPr>
            <w:r/>
            <w:r>
              <w:rPr>
                <w:rFonts w:ascii="Microsoft YaHei" w:hAnsi="Microsoft YaHei"/>
                <w:b/>
                <w:color w:val="1A1A1A"/>
                <w:sz w:val="18"/>
              </w:rPr>
              <w:t>核心逻辑</w:t>
            </w:r>
          </w:p>
        </w:tc>
      </w:tr>
      <w:tr>
        <w:tc>
          <w:tcPr>
            <w:tcW w:type="dxa" w:w="3022"/>
          </w:tcPr>
          <w:p>
            <w:pPr>
              <w:spacing w:before="40" w:after="40" w:line="288" w:lineRule="auto"/>
            </w:pPr>
            <w:r/>
            <w:r>
              <w:rPr>
                <w:rFonts w:ascii="Microsoft YaHei" w:hAnsi="Microsoft YaHei"/>
                <w:sz w:val="18"/>
              </w:rPr>
              <w:t>估值</w:t>
            </w:r>
          </w:p>
        </w:tc>
        <w:tc>
          <w:tcPr>
            <w:tcW w:type="dxa" w:w="3022"/>
          </w:tcPr>
          <w:p>
            <w:pPr>
              <w:spacing w:before="40" w:after="40" w:line="288" w:lineRule="auto"/>
            </w:pPr>
            <w:r/>
            <w:r>
              <w:rPr>
                <w:rFonts w:ascii="Microsoft YaHei" w:hAnsi="Microsoft YaHei"/>
                <w:sz w:val="18"/>
              </w:rPr>
              <w:t xml:space="preserve">🟢 </w:t>
            </w:r>
            <w:r>
              <w:rPr>
                <w:rFonts w:ascii="Microsoft YaHei" w:hAnsi="Microsoft YaHei"/>
                <w:b/>
                <w:color w:val="1A1A1A"/>
                <w:sz w:val="18"/>
              </w:rPr>
              <w:t>极度低估</w:t>
            </w:r>
          </w:p>
        </w:tc>
        <w:tc>
          <w:tcPr>
            <w:tcW w:type="dxa" w:w="3022"/>
          </w:tcPr>
          <w:p>
            <w:pPr>
              <w:spacing w:before="40" w:after="40" w:line="288" w:lineRule="auto"/>
            </w:pPr>
            <w:r/>
            <w:r>
              <w:rPr>
                <w:rFonts w:ascii="Microsoft YaHei" w:hAnsi="Microsoft YaHei"/>
                <w:sz w:val="18"/>
              </w:rPr>
              <w:t>PE 3.46倍 / PB 0.40倍，安全垫厚实</w:t>
            </w:r>
          </w:p>
        </w:tc>
      </w:tr>
      <w:tr>
        <w:tc>
          <w:tcPr>
            <w:tcW w:type="dxa" w:w="3022"/>
            <w:shd w:fill="F8F9FA" w:val="clear"/>
          </w:tcPr>
          <w:p>
            <w:pPr>
              <w:spacing w:before="40" w:after="40" w:line="288" w:lineRule="auto"/>
            </w:pPr>
            <w:r/>
            <w:r>
              <w:rPr>
                <w:rFonts w:ascii="Microsoft YaHei" w:hAnsi="Microsoft YaHei"/>
                <w:sz w:val="18"/>
              </w:rPr>
              <w:t>量价</w:t>
            </w:r>
          </w:p>
        </w:tc>
        <w:tc>
          <w:tcPr>
            <w:tcW w:type="dxa" w:w="3022"/>
            <w:shd w:fill="F8F9FA" w:val="clear"/>
          </w:tcPr>
          <w:p>
            <w:pPr>
              <w:spacing w:before="40" w:after="40" w:line="288" w:lineRule="auto"/>
            </w:pPr>
            <w:r/>
            <w:r>
              <w:rPr>
                <w:rFonts w:ascii="Microsoft YaHei" w:hAnsi="Microsoft YaHei"/>
                <w:sz w:val="18"/>
              </w:rPr>
              <w:t xml:space="preserve">🟢 </w:t>
            </w:r>
            <w:r>
              <w:rPr>
                <w:rFonts w:ascii="Microsoft YaHei" w:hAnsi="Microsoft YaHei"/>
                <w:b/>
                <w:color w:val="1A1A1A"/>
                <w:sz w:val="18"/>
              </w:rPr>
              <w:t>放量上攻</w:t>
            </w:r>
          </w:p>
        </w:tc>
        <w:tc>
          <w:tcPr>
            <w:tcW w:type="dxa" w:w="3022"/>
            <w:shd w:fill="F8F9FA" w:val="clear"/>
          </w:tcPr>
          <w:p>
            <w:pPr>
              <w:spacing w:before="40" w:after="40" w:line="288" w:lineRule="auto"/>
            </w:pPr>
            <w:r/>
            <w:r>
              <w:rPr>
                <w:rFonts w:ascii="Microsoft YaHei" w:hAnsi="Microsoft YaHei"/>
                <w:sz w:val="18"/>
              </w:rPr>
              <w:t>半日成交已超昨日全日，量比1.66</w:t>
            </w:r>
          </w:p>
        </w:tc>
      </w:tr>
      <w:tr>
        <w:tc>
          <w:tcPr>
            <w:tcW w:type="dxa" w:w="3022"/>
          </w:tcPr>
          <w:p>
            <w:pPr>
              <w:spacing w:before="40" w:after="40" w:line="288" w:lineRule="auto"/>
            </w:pPr>
            <w:r/>
            <w:r>
              <w:rPr>
                <w:rFonts w:ascii="Microsoft YaHei" w:hAnsi="Microsoft YaHei"/>
                <w:sz w:val="18"/>
              </w:rPr>
              <w:t>资金</w:t>
            </w:r>
          </w:p>
        </w:tc>
        <w:tc>
          <w:tcPr>
            <w:tcW w:type="dxa" w:w="3022"/>
          </w:tcPr>
          <w:p>
            <w:pPr>
              <w:spacing w:before="40" w:after="40" w:line="288" w:lineRule="auto"/>
            </w:pPr>
            <w:r/>
            <w:r>
              <w:rPr>
                <w:rFonts w:ascii="Microsoft YaHei" w:hAnsi="Microsoft YaHei"/>
                <w:sz w:val="18"/>
              </w:rPr>
              <w:t xml:space="preserve">🟢 </w:t>
            </w:r>
            <w:r>
              <w:rPr>
                <w:rFonts w:ascii="Microsoft YaHei" w:hAnsi="Microsoft YaHei"/>
                <w:b/>
                <w:color w:val="1A1A1A"/>
                <w:sz w:val="18"/>
              </w:rPr>
              <w:t>全面流入</w:t>
            </w:r>
          </w:p>
        </w:tc>
        <w:tc>
          <w:tcPr>
            <w:tcW w:type="dxa" w:w="3022"/>
          </w:tcPr>
          <w:p>
            <w:pPr>
              <w:spacing w:before="40" w:after="40" w:line="288" w:lineRule="auto"/>
            </w:pPr>
            <w:r/>
            <w:r>
              <w:rPr>
                <w:rFonts w:ascii="Microsoft YaHei" w:hAnsi="Microsoft YaHei"/>
                <w:sz w:val="18"/>
              </w:rPr>
              <w:t>大/中/小单一致净流入，外盘/内盘1.82</w:t>
            </w:r>
          </w:p>
        </w:tc>
      </w:tr>
      <w:tr>
        <w:tc>
          <w:tcPr>
            <w:tcW w:type="dxa" w:w="3022"/>
            <w:shd w:fill="F8F9FA" w:val="clear"/>
          </w:tcPr>
          <w:p>
            <w:pPr>
              <w:spacing w:before="40" w:after="40" w:line="288" w:lineRule="auto"/>
            </w:pPr>
            <w:r/>
            <w:r>
              <w:rPr>
                <w:rFonts w:ascii="Microsoft YaHei" w:hAnsi="Microsoft YaHei"/>
                <w:sz w:val="18"/>
              </w:rPr>
              <w:t>技术</w:t>
            </w:r>
          </w:p>
        </w:tc>
        <w:tc>
          <w:tcPr>
            <w:tcW w:type="dxa" w:w="3022"/>
            <w:shd w:fill="F8F9FA" w:val="clear"/>
          </w:tcPr>
          <w:p>
            <w:pPr>
              <w:spacing w:before="40" w:after="40" w:line="288" w:lineRule="auto"/>
            </w:pPr>
            <w:r/>
            <w:r>
              <w:rPr>
                <w:rFonts w:ascii="Microsoft YaHei" w:hAnsi="Microsoft YaHei"/>
                <w:sz w:val="18"/>
              </w:rPr>
              <w:t xml:space="preserve">🟡 </w:t>
            </w:r>
            <w:r>
              <w:rPr>
                <w:rFonts w:ascii="Microsoft YaHei" w:hAnsi="Microsoft YaHei"/>
                <w:b/>
                <w:color w:val="1A1A1A"/>
                <w:sz w:val="18"/>
              </w:rPr>
              <w:t>偏强震荡</w:t>
            </w:r>
          </w:p>
        </w:tc>
        <w:tc>
          <w:tcPr>
            <w:tcW w:type="dxa" w:w="3022"/>
            <w:shd w:fill="F8F9FA" w:val="clear"/>
          </w:tcPr>
          <w:p>
            <w:pPr>
              <w:spacing w:before="40" w:after="40" w:line="288" w:lineRule="auto"/>
            </w:pPr>
            <w:r/>
            <w:r>
              <w:rPr>
                <w:rFonts w:ascii="Microsoft YaHei" w:hAnsi="Microsoft YaHei"/>
                <w:sz w:val="18"/>
              </w:rPr>
              <w:t>站上MA10/MA20，短线待突破MA5</w:t>
            </w:r>
          </w:p>
        </w:tc>
      </w:tr>
      <w:tr>
        <w:tc>
          <w:tcPr>
            <w:tcW w:type="dxa" w:w="3022"/>
          </w:tcPr>
          <w:p>
            <w:pPr>
              <w:spacing w:before="40" w:after="40" w:line="288" w:lineRule="auto"/>
            </w:pPr>
            <w:r/>
            <w:r>
              <w:rPr>
                <w:rFonts w:ascii="Microsoft YaHei" w:hAnsi="Microsoft YaHei"/>
                <w:sz w:val="18"/>
              </w:rPr>
              <w:t>消息</w:t>
            </w:r>
          </w:p>
        </w:tc>
        <w:tc>
          <w:tcPr>
            <w:tcW w:type="dxa" w:w="3022"/>
          </w:tcPr>
          <w:p>
            <w:pPr>
              <w:spacing w:before="40" w:after="40" w:line="288" w:lineRule="auto"/>
            </w:pPr>
            <w:r/>
            <w:r>
              <w:rPr>
                <w:rFonts w:ascii="Microsoft YaHei" w:hAnsi="Microsoft YaHei"/>
                <w:sz w:val="18"/>
              </w:rPr>
              <w:t xml:space="preserve">🟢 </w:t>
            </w:r>
            <w:r>
              <w:rPr>
                <w:rFonts w:ascii="Microsoft YaHei" w:hAnsi="Microsoft YaHei"/>
                <w:b/>
                <w:color w:val="1A1A1A"/>
                <w:sz w:val="18"/>
              </w:rPr>
              <w:t>重大利好</w:t>
            </w:r>
          </w:p>
        </w:tc>
        <w:tc>
          <w:tcPr>
            <w:tcW w:type="dxa" w:w="3022"/>
          </w:tcPr>
          <w:p>
            <w:pPr>
              <w:spacing w:before="40" w:after="40" w:line="288" w:lineRule="auto"/>
            </w:pPr>
            <w:r/>
            <w:r>
              <w:rPr>
                <w:rFonts w:ascii="Microsoft YaHei" w:hAnsi="Microsoft YaHei"/>
                <w:sz w:val="18"/>
              </w:rPr>
              <w:t>224亿科威特大单落地，EPC+OM模式升级</w:t>
            </w:r>
          </w:p>
        </w:tc>
      </w:tr>
      <w:tr>
        <w:tc>
          <w:tcPr>
            <w:tcW w:type="dxa" w:w="3022"/>
            <w:shd w:fill="F8F9FA" w:val="clear"/>
          </w:tcPr>
          <w:p>
            <w:pPr>
              <w:spacing w:before="40" w:after="40" w:line="288" w:lineRule="auto"/>
            </w:pPr>
            <w:r/>
            <w:r>
              <w:rPr>
                <w:rFonts w:ascii="Microsoft YaHei" w:hAnsi="Microsoft YaHei"/>
                <w:sz w:val="18"/>
              </w:rPr>
              <w:t>板块</w:t>
            </w:r>
          </w:p>
        </w:tc>
        <w:tc>
          <w:tcPr>
            <w:tcW w:type="dxa" w:w="3022"/>
            <w:shd w:fill="F8F9FA" w:val="clear"/>
          </w:tcPr>
          <w:p>
            <w:pPr>
              <w:spacing w:before="40" w:after="40" w:line="288" w:lineRule="auto"/>
            </w:pPr>
            <w:r/>
            <w:r>
              <w:rPr>
                <w:rFonts w:ascii="Microsoft YaHei" w:hAnsi="Microsoft YaHei"/>
                <w:sz w:val="18"/>
              </w:rPr>
              <w:t xml:space="preserve">🟢 </w:t>
            </w:r>
            <w:r>
              <w:rPr>
                <w:rFonts w:ascii="Microsoft YaHei" w:hAnsi="Microsoft YaHei"/>
                <w:b/>
                <w:color w:val="1A1A1A"/>
                <w:sz w:val="18"/>
              </w:rPr>
              <w:t>领先同业</w:t>
            </w:r>
          </w:p>
        </w:tc>
        <w:tc>
          <w:tcPr>
            <w:tcW w:type="dxa" w:w="3022"/>
            <w:shd w:fill="F8F9FA" w:val="clear"/>
          </w:tcPr>
          <w:p>
            <w:pPr>
              <w:spacing w:before="40" w:after="40" w:line="288" w:lineRule="auto"/>
            </w:pPr>
            <w:r/>
            <w:r>
              <w:rPr>
                <w:rFonts w:ascii="Microsoft YaHei" w:hAnsi="Microsoft YaHei"/>
                <w:sz w:val="18"/>
              </w:rPr>
              <w:t>板块-2.93%环境中逆势+2.65%</w:t>
            </w:r>
          </w:p>
        </w:tc>
      </w:tr>
    </w:tbl>
    <w:p/>
    <w:p>
      <w:r>
        <w:rPr>
          <w:rFonts w:ascii="Microsoft YaHei" w:hAnsi="Microsoft YaHei"/>
          <w:b/>
          <w:color w:val="1A1A1A"/>
        </w:rPr>
        <w:t>主力观点：</w:t>
      </w:r>
    </w:p>
    <w:p>
      <w:r>
        <w:rPr>
          <w:rFonts w:ascii="Microsoft YaHei" w:hAnsi="Microsoft YaHei"/>
        </w:rPr>
        <w:t xml:space="preserve">中国建筑今日在 </w:t>
      </w:r>
      <w:r>
        <w:rPr>
          <w:rFonts w:ascii="Microsoft YaHei" w:hAnsi="Microsoft YaHei"/>
          <w:b/>
          <w:color w:val="1A1A1A"/>
        </w:rPr>
        <w:t>224亿元科威特大单</w:t>
      </w:r>
      <w:r>
        <w:rPr>
          <w:rFonts w:ascii="Microsoft YaHei" w:hAnsi="Microsoft YaHei"/>
        </w:rPr>
        <w:t xml:space="preserve"> 的催化下，走出 </w:t>
      </w:r>
      <w:r>
        <w:rPr>
          <w:rFonts w:ascii="Microsoft YaHei" w:hAnsi="Microsoft YaHei"/>
          <w:b/>
          <w:color w:val="1A1A1A"/>
        </w:rPr>
        <w:t>放量高开高走</w:t>
      </w:r>
      <w:r>
        <w:rPr>
          <w:rFonts w:ascii="Microsoft YaHei" w:hAnsi="Microsoft YaHei"/>
        </w:rPr>
        <w:t xml:space="preserve"> 的强势行情。当前估值（PE 3.46x / PB 0.40x）已处于历史极低分位，叠加 </w:t>
      </w:r>
      <w:r>
        <w:rPr>
          <w:rFonts w:ascii="Microsoft YaHei" w:hAnsi="Microsoft YaHei"/>
          <w:b/>
          <w:color w:val="1A1A1A"/>
        </w:rPr>
        <w:t>资金全面净流入</w:t>
      </w:r>
      <w:r>
        <w:rPr>
          <w:rFonts w:ascii="Microsoft YaHei" w:hAnsi="Microsoft YaHei"/>
        </w:rPr>
        <w:t xml:space="preserve"> 和 </w:t>
      </w:r>
      <w:r>
        <w:rPr>
          <w:rFonts w:ascii="Microsoft YaHei" w:hAnsi="Microsoft YaHei"/>
          <w:b/>
          <w:color w:val="1A1A1A"/>
        </w:rPr>
        <w:t>技术面多头排列雏形</w:t>
      </w:r>
      <w:r>
        <w:rPr>
          <w:rFonts w:ascii="Microsoft YaHei" w:hAnsi="Microsoft YaHei"/>
        </w:rPr>
        <w:t>，短期上行动能充沛。</w:t>
      </w:r>
    </w:p>
    <w:p>
      <w:r>
        <w:rPr>
          <w:rFonts w:ascii="Microsoft YaHei" w:hAnsi="Microsoft YaHei"/>
        </w:rPr>
        <w:t>需关注的风险因素：</w:t>
      </w:r>
    </w:p>
    <w:p>
      <w:pPr>
        <w:pStyle w:val="ListBullet"/>
      </w:pPr>
      <w:r>
        <w:rPr>
          <w:rFonts w:ascii="Microsoft YaHei" w:hAnsi="Microsoft YaHei"/>
        </w:rPr>
        <w:t>午后若量能未能持续，短线存在回踩MA5（4.69）的可能；</w:t>
      </w:r>
    </w:p>
    <w:p>
      <w:pPr>
        <w:pStyle w:val="ListBullet"/>
      </w:pPr>
      <w:r>
        <w:rPr>
          <w:rFonts w:ascii="Microsoft YaHei" w:hAnsi="Microsoft YaHei"/>
        </w:rPr>
        <w:t>建筑行业整体仍处于-2.93%的调整状态，板块情绪传导存在不确定性；</w:t>
      </w:r>
    </w:p>
    <w:p>
      <w:pPr>
        <w:pStyle w:val="ListBullet"/>
      </w:pPr>
      <w:r>
        <w:rPr>
          <w:rFonts w:ascii="Microsoft YaHei" w:hAnsi="Microsoft YaHei"/>
        </w:rPr>
        <w:t>融资余额近期小幅下降，杠杆资金态度偏谨慎。</w:t>
      </w:r>
    </w:p>
    <w:p>
      <w:r>
        <w:rPr>
          <w:rFonts w:ascii="Microsoft YaHei" w:hAnsi="Microsoft YaHei"/>
          <w:b/>
          <w:color w:val="1A1A1A"/>
        </w:rPr>
        <w:t>综合来看，今日走势属于"利好驱动+估值修复"共振行情，短期关注能否站稳MA5并向上挑战布林上轨（4.81元）。</w:t>
      </w:r>
    </w:p>
    <w:p>
      <w:pPr>
        <w:spacing w:before="240" w:after="240"/>
        <w:pBdr>
          <w:bottom w:val="single" w:sz="4" w:space="1" w:color="D0D7DE"/>
        </w:pBdr>
      </w:pPr>
    </w:p>
    <w:p>
      <w:r>
        <w:rPr>
          <w:rFonts w:ascii="Microsoft YaHei" w:hAnsi="Microsoft YaHei"/>
        </w:rPr>
        <w:t xml:space="preserve">&gt; ⚠️ </w:t>
      </w:r>
      <w:r>
        <w:rPr>
          <w:rFonts w:ascii="Microsoft YaHei" w:hAnsi="Microsoft YaHei"/>
          <w:b/>
          <w:color w:val="1A1A1A"/>
        </w:rPr>
        <w:t>免责声明</w:t>
      </w:r>
      <w:r>
        <w:rPr>
          <w:rFonts w:ascii="Microsoft YaHei" w:hAnsi="Microsoft YaHei"/>
        </w:rPr>
        <w:t>：本报告基于公开数据整理分析，不构成任何投资建议。股市有风险，投资需谨慎。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中国建筑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