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中国电建（601669.SH）午间分析报告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今日全市场情绪偏暖，热度指数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3,431只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2,000只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1.7:1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、跌停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区间。市场整体呈现普涨格局，但分化依然明显。</w:t>
      </w:r>
    </w:p>
    <w:p>
      <w:r>
        <w:rPr>
          <w:rFonts w:ascii="Microsoft YaHei" w:hAnsi="Microsoft YaHei"/>
        </w:rPr>
        <w:t xml:space="preserve">中国电建今日午间收盘报 </w:t>
      </w:r>
      <w:r>
        <w:rPr>
          <w:rFonts w:ascii="Microsoft YaHei" w:hAnsi="Microsoft YaHei"/>
          <w:b/>
          <w:color w:val="1A1A1A"/>
        </w:rPr>
        <w:t>4.83元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+2.55%</w:t>
      </w:r>
      <w:r>
        <w:rPr>
          <w:rFonts w:ascii="Microsoft YaHei" w:hAnsi="Microsoft YaHei"/>
        </w:rPr>
        <w:t xml:space="preserve">，显著跑赢全市场及建筑板块平均水平，在建筑与工程Ⅲ(A股)板块 </w:t>
      </w:r>
      <w:r>
        <w:rPr>
          <w:rFonts w:ascii="Microsoft YaHei" w:hAnsi="Microsoft YaHei"/>
          <w:b/>
          <w:color w:val="1A1A1A"/>
        </w:rPr>
        <w:t>108只成分股中排名第9位</w:t>
      </w:r>
      <w:r>
        <w:rPr>
          <w:rFonts w:ascii="Microsoft YaHei" w:hAnsi="Microsoft YaHei"/>
        </w:rPr>
        <w:t>，表现强势。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开盘4.71，最高4.84，最低4.71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+2.55%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大幅跑赢沪深300（+1.57%）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192.49万手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较昨日放量明显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9.22亿元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半日即接近昨日全天水平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较昨日的0.97%放大约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交投活跃度显著提升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10.66倍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处于建筑板块中低水平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破净状态</w:t>
            </w:r>
            <w:r>
              <w:rPr>
                <w:rFonts w:ascii="Microsoft YaHei" w:hAnsi="Microsoft YaHei"/>
                <w:sz w:val="18"/>
              </w:rPr>
              <w:t>，安全边际较高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832.02亿元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 xml:space="preserve">：今日半日换手率（1.47%）已超过昨日全天（0.97%）的 </w:t>
      </w:r>
      <w:r>
        <w:rPr>
          <w:rFonts w:ascii="Microsoft YaHei" w:hAnsi="Microsoft YaHei"/>
          <w:b/>
          <w:color w:val="1A1A1A"/>
        </w:rPr>
        <w:t>1.52倍</w:t>
      </w:r>
      <w:r>
        <w:rPr>
          <w:rFonts w:ascii="Microsoft YaHei" w:hAnsi="Microsoft YaHei"/>
        </w:rPr>
        <w:t>，属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>形态；量比1.66进一步印证资金入场意愿增强。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今日逐分钟资金流向（截至午间）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净流入 5,282.07万元</w:t>
      </w:r>
    </w:p>
    <w:p>
      <w:pPr>
        <w:pStyle w:val="ListBullet"/>
      </w:pPr>
      <w:r>
        <w:rPr>
          <w:rFonts w:ascii="Microsoft YaHei" w:hAnsi="Microsoft YaHei"/>
        </w:rPr>
        <w:t xml:space="preserve">资金流入分钟数 </w:t>
      </w:r>
      <w:r>
        <w:rPr>
          <w:rFonts w:ascii="Microsoft YaHei" w:hAnsi="Microsoft YaHei"/>
          <w:b/>
          <w:color w:val="1A1A1A"/>
        </w:rPr>
        <w:t>74分钟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46分钟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959.0万元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675.2万元</w:t>
      </w:r>
    </w:p>
    <w:p>
      <w:pPr>
        <w:pStyle w:val="ListBullet"/>
      </w:pPr>
      <w:r>
        <w:rPr>
          <w:rFonts w:ascii="Microsoft YaHei" w:hAnsi="Microsoft YaHei"/>
        </w:rPr>
        <w:t xml:space="preserve">流入时长占比约 </w:t>
      </w:r>
      <w:r>
        <w:rPr>
          <w:rFonts w:ascii="Microsoft YaHei" w:hAnsi="Microsoft YaHei"/>
          <w:b/>
          <w:color w:val="1A1A1A"/>
        </w:rPr>
        <w:t>61.7%</w:t>
      </w:r>
      <w:r>
        <w:rPr>
          <w:rFonts w:ascii="Microsoft YaHei" w:hAnsi="Microsoft YaHei"/>
        </w:rPr>
        <w:t>，买方力量占主导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卖出额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+3,242.87万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7,517.16万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4,274.29万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+1,557.56万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6,493.51万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4,935.95万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+481.65万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3,296.44万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2,814.80万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+5,282.07万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分析</w:t>
      </w:r>
      <w:r>
        <w:rPr>
          <w:rFonts w:ascii="Microsoft YaHei" w:hAnsi="Microsoft YaHei"/>
        </w:rPr>
        <w:t xml:space="preserve">：大单净流入 </w:t>
      </w:r>
      <w:r>
        <w:rPr>
          <w:rFonts w:ascii="Microsoft YaHei" w:hAnsi="Microsoft YaHei"/>
          <w:b/>
          <w:color w:val="1A1A1A"/>
        </w:rPr>
        <w:t>3,242.87万元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1,557.56万元</w:t>
      </w:r>
      <w:r>
        <w:rPr>
          <w:rFonts w:ascii="Microsoft YaHei" w:hAnsi="Microsoft YaHei"/>
        </w:rPr>
        <w:t>，大小单</w:t>
      </w:r>
      <w:r>
        <w:rPr>
          <w:rFonts w:ascii="Microsoft YaHei" w:hAnsi="Microsoft YaHei"/>
          <w:b/>
          <w:color w:val="1A1A1A"/>
        </w:rPr>
        <w:t>全线净流入</w:t>
      </w:r>
      <w:r>
        <w:rPr>
          <w:rFonts w:ascii="Microsoft YaHei" w:hAnsi="Microsoft YaHei"/>
        </w:rPr>
        <w:t xml:space="preserve">，显示主力资金与散户资金形成共振。昨日合计净流入 </w:t>
      </w:r>
      <w:r>
        <w:rPr>
          <w:rFonts w:ascii="Microsoft YaHei" w:hAnsi="Microsoft YaHei"/>
          <w:b/>
          <w:color w:val="1A1A1A"/>
        </w:rPr>
        <w:t>5,282万元</w:t>
      </w:r>
      <w:r>
        <w:rPr>
          <w:rFonts w:ascii="Microsoft YaHei" w:hAnsi="Microsoft YaHei"/>
        </w:rPr>
        <w:t>，与今日半日净流入额基本相当，资金持续加仓趋势明确。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34.52亿元</w:t>
      </w:r>
      <w:r>
        <w:rPr>
          <w:rFonts w:ascii="Microsoft YaHei" w:hAnsi="Microsoft YaHei"/>
        </w:rPr>
        <w:t>（较前日 -0.04%，基本持平）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0.12亿元</w:t>
      </w:r>
      <w:r>
        <w:rPr>
          <w:rFonts w:ascii="Microsoft YaHei" w:hAnsi="Microsoft YaHei"/>
        </w:rPr>
        <w:t>（较前日 -3.32%，融券有所减少）</w:t>
      </w:r>
    </w:p>
    <w:p>
      <w:r>
        <w:rPr>
          <w:rFonts w:ascii="Microsoft YaHei" w:hAnsi="Microsoft YaHei"/>
        </w:rPr>
        <w:t>&gt; 融资余额稳定在34.5亿附近，融券余额持续下降，表明做空力量减弱、看多情绪渐浓。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4.82元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紧贴MA5，支撑有效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4.75元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站稳MA10上方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4.69元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远离中轨，多头趋势确认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上轨：</w:t>
      </w:r>
      <w:r>
        <w:rPr>
          <w:rFonts w:ascii="Microsoft YaHei" w:hAnsi="Microsoft YaHei"/>
          <w:b/>
          <w:color w:val="1A1A1A"/>
        </w:rPr>
        <w:t>4.85元</w:t>
      </w:r>
      <w:r>
        <w:rPr>
          <w:rFonts w:ascii="Microsoft YaHei" w:hAnsi="Microsoft YaHei"/>
        </w:rPr>
        <w:t xml:space="preserve"> | 下轨：</w:t>
      </w:r>
      <w:r>
        <w:rPr>
          <w:rFonts w:ascii="Microsoft YaHei" w:hAnsi="Microsoft YaHei"/>
          <w:b/>
          <w:color w:val="1A1A1A"/>
        </w:rPr>
        <w:t>4.53元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4.83元</w:t>
      </w:r>
      <w:r>
        <w:rPr>
          <w:rFonts w:ascii="Microsoft YaHei" w:hAnsi="Microsoft YaHei"/>
        </w:rPr>
        <w:t xml:space="preserve">，距布林带上轨仅 </w:t>
      </w:r>
      <w:r>
        <w:rPr>
          <w:rFonts w:ascii="Microsoft YaHei" w:hAnsi="Microsoft YaHei"/>
          <w:b/>
          <w:color w:val="1A1A1A"/>
        </w:rPr>
        <w:t>0.02元（0.4%）</w:t>
      </w:r>
    </w:p>
    <w:p>
      <w:pPr>
        <w:pStyle w:val="ListBullet"/>
      </w:pPr>
      <w:r>
        <w:rPr>
          <w:rFonts w:ascii="Microsoft YaHei" w:hAnsi="Microsoft YaHei"/>
        </w:rPr>
        <w:t xml:space="preserve">布林带宽度：4.85 - 4.53 = </w:t>
      </w:r>
      <w:r>
        <w:rPr>
          <w:rFonts w:ascii="Microsoft YaHei" w:hAnsi="Microsoft YaHei"/>
          <w:b/>
          <w:color w:val="1A1A1A"/>
        </w:rPr>
        <w:t>0.32元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：股价依次站上MA5、MA10、MA20，呈标准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。当前价已逼近布林带上轨（4.85元），短期存在上轨压制。若午后放量突破4.85元并站稳，则有望打开上行空间；若遇阻回落，MA5（4.82元）与MA10（4.75元）将构成短期支撑。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振幅分析</w:t>
      </w:r>
    </w:p>
    <w:p>
      <w:pPr>
        <w:pStyle w:val="ListBullet"/>
      </w:pPr>
      <w:r>
        <w:rPr>
          <w:rFonts w:ascii="Microsoft YaHei" w:hAnsi="Microsoft YaHei"/>
        </w:rPr>
        <w:t>振幅：</w:t>
      </w:r>
      <w:r>
        <w:rPr>
          <w:rFonts w:ascii="Microsoft YaHei" w:hAnsi="Microsoft YaHei"/>
          <w:b/>
          <w:color w:val="1A1A1A"/>
        </w:rPr>
        <w:t>2.76%</w:t>
      </w:r>
      <w:r>
        <w:rPr>
          <w:rFonts w:ascii="Microsoft YaHei" w:hAnsi="Microsoft YaHei"/>
        </w:rPr>
        <w:t>（4.71 → 4.84）</w:t>
      </w:r>
    </w:p>
    <w:p>
      <w:pPr>
        <w:pStyle w:val="ListBullet"/>
      </w:pPr>
      <w:r>
        <w:rPr>
          <w:rFonts w:ascii="Microsoft YaHei" w:hAnsi="Microsoft YaHei"/>
        </w:rPr>
        <w:t xml:space="preserve">呈现 </w:t>
      </w:r>
      <w:r>
        <w:rPr>
          <w:rFonts w:ascii="Microsoft YaHei" w:hAnsi="Microsoft YaHei"/>
          <w:b/>
          <w:color w:val="1A1A1A"/>
        </w:rPr>
        <w:t>高开高走</w:t>
      </w:r>
      <w:r>
        <w:rPr>
          <w:rFonts w:ascii="Microsoft YaHei" w:hAnsi="Microsoft YaHei"/>
        </w:rPr>
        <w:t xml:space="preserve"> 走势，盘中未见明显回调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重点新闻解读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国家电网投资加速（2026年H1同比+12.6%）</w:t>
      </w:r>
    </w:p>
    <w:p>
      <w:r>
        <w:rPr>
          <w:rFonts w:ascii="Microsoft YaHei" w:hAnsi="Microsoft YaHei"/>
        </w:rPr>
        <w:t xml:space="preserve">   - 📌 智能电网板块今日涨幅 </w:t>
      </w:r>
      <w:r>
        <w:rPr>
          <w:rFonts w:ascii="Microsoft YaHei" w:hAnsi="Microsoft YaHei"/>
          <w:b/>
          <w:color w:val="1A1A1A"/>
        </w:rPr>
        <w:t>+0.55%</w:t>
      </w:r>
      <w:r>
        <w:rPr>
          <w:rFonts w:ascii="Microsoft YaHei" w:hAnsi="Microsoft YaHei"/>
        </w:rPr>
        <w:t>，板块内中电鑫龙、三变科技等涨停</w:t>
      </w:r>
    </w:p>
    <w:p>
      <w:r>
        <w:rPr>
          <w:rFonts w:ascii="Microsoft YaHei" w:hAnsi="Microsoft YaHei"/>
        </w:rPr>
        <w:t xml:space="preserve">   - 中国电建作为电力工程建设主力军，直接受益于电网投资扩张</w:t>
      </w:r>
    </w:p>
    <w:p>
      <w:r>
        <w:rPr>
          <w:rFonts w:ascii="Microsoft YaHei" w:hAnsi="Microsoft YaHei"/>
        </w:rPr>
        <w:t xml:space="preserve">   - 公司业务覆盖 </w:t>
      </w:r>
      <w:r>
        <w:rPr>
          <w:rFonts w:ascii="Microsoft YaHei" w:hAnsi="Microsoft YaHei"/>
          <w:b/>
          <w:color w:val="1A1A1A"/>
        </w:rPr>
        <w:t>电网、输配电、电力</w:t>
      </w:r>
      <w:r>
        <w:rPr>
          <w:rFonts w:ascii="Microsoft YaHei" w:hAnsi="Microsoft YaHei"/>
        </w:rPr>
        <w:t>等全产业链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中国建筑签约科威特224亿元污水处理厂项目</w:t>
      </w:r>
    </w:p>
    <w:p>
      <w:r>
        <w:rPr>
          <w:rFonts w:ascii="Microsoft YaHei" w:hAnsi="Microsoft YaHei"/>
        </w:rPr>
        <w:t xml:space="preserve">   - 同行业央企海外大单落地，提振建筑板块情绪</w:t>
      </w:r>
    </w:p>
    <w:p>
      <w:r>
        <w:rPr>
          <w:rFonts w:ascii="Microsoft YaHei" w:hAnsi="Microsoft YaHei"/>
        </w:rPr>
        <w:t xml:space="preserve">   - 体现 </w:t>
      </w:r>
      <w:r>
        <w:rPr>
          <w:rFonts w:ascii="Microsoft YaHei" w:hAnsi="Microsoft YaHei"/>
          <w:b/>
          <w:color w:val="1A1A1A"/>
        </w:rPr>
        <w:t>"一带一路"框架下建筑央企海外订单持续增长</w:t>
      </w:r>
      <w:r>
        <w:rPr>
          <w:rFonts w:ascii="Microsoft YaHei" w:hAnsi="Microsoft YaHei"/>
        </w:rPr>
        <w:t>的趋势</w:t>
      </w:r>
    </w:p>
    <w:p>
      <w:r>
        <w:rPr>
          <w:rFonts w:ascii="Microsoft YaHei" w:hAnsi="Microsoft YaHei"/>
        </w:rPr>
        <w:t xml:space="preserve">   - 中国电建同样拥有丰富的海外工程经验，行业利好外溢效应明显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电网设备板块热度持续</w:t>
      </w:r>
    </w:p>
    <w:p>
      <w:r>
        <w:rPr>
          <w:rFonts w:ascii="Microsoft YaHei" w:hAnsi="Microsoft YaHei"/>
        </w:rPr>
        <w:t xml:space="preserve">   - 顺钠股份实现 </w:t>
      </w:r>
      <w:r>
        <w:rPr>
          <w:rFonts w:ascii="Microsoft YaHei" w:hAnsi="Microsoft YaHei"/>
          <w:b/>
          <w:color w:val="1A1A1A"/>
        </w:rPr>
        <w:t>4连板</w:t>
      </w:r>
      <w:r>
        <w:rPr>
          <w:rFonts w:ascii="Microsoft YaHei" w:hAnsi="Microsoft YaHei"/>
        </w:rPr>
        <w:t>，成为电网方向短线标杆</w:t>
      </w:r>
    </w:p>
    <w:p>
      <w:r>
        <w:rPr>
          <w:rFonts w:ascii="Microsoft YaHei" w:hAnsi="Microsoft YaHei"/>
        </w:rPr>
        <w:t xml:space="preserve">   - 市场对电网、电力方向关注度提升，中国电建作为电力建设龙头受益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板块内中国电建排名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145/319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89/197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建筑与工程Ⅲ(A股)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9/108</w:t>
            </w:r>
            <w:r>
              <w:rPr>
                <w:rFonts w:ascii="Microsoft YaHei" w:hAnsi="Microsoft YaHei"/>
                <w:sz w:val="18"/>
              </w:rPr>
              <w:t>（逆势领涨）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117/1209</w:t>
            </w:r>
          </w:p>
        </w:tc>
      </w:tr>
    </w:tbl>
    <w:p/>
    <w:p>
      <w:r>
        <w:rPr>
          <w:rFonts w:ascii="Microsoft YaHei" w:hAnsi="Microsoft YaHei"/>
        </w:rPr>
        <w:t xml:space="preserve">&gt; 值得注意的是，建筑与工程板块整体下跌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 xml:space="preserve">，但中国电建逆势上涨 </w:t>
      </w:r>
      <w:r>
        <w:rPr>
          <w:rFonts w:ascii="Microsoft YaHei" w:hAnsi="Microsoft YaHei"/>
          <w:b/>
          <w:color w:val="1A1A1A"/>
        </w:rPr>
        <w:t>+2.55%</w:t>
      </w:r>
      <w:r>
        <w:rPr>
          <w:rFonts w:ascii="Microsoft YaHei" w:hAnsi="Microsoft YaHei"/>
        </w:rPr>
        <w:t xml:space="preserve">，在板块内排名 </w:t>
      </w:r>
      <w:r>
        <w:rPr>
          <w:rFonts w:ascii="Microsoft YaHei" w:hAnsi="Microsoft YaHei"/>
          <w:b/>
          <w:color w:val="1A1A1A"/>
        </w:rPr>
        <w:t>第9位</w:t>
      </w:r>
      <w:r>
        <w:rPr>
          <w:rFonts w:ascii="Microsoft YaHei" w:hAnsi="Microsoft YaHei"/>
        </w:rPr>
        <w:t xml:space="preserve">，呈现明显 </w:t>
      </w:r>
      <w:r>
        <w:rPr>
          <w:rFonts w:ascii="Microsoft YaHei" w:hAnsi="Microsoft YaHei"/>
          <w:b/>
          <w:color w:val="1A1A1A"/>
        </w:rPr>
        <w:t>α行情（独立于板块的强势走势）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放量上攻，量比1.66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连续两日净流入，大单主导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多头排列，逼近布林上轨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 0.57倍破净，PE 10.66倍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安全边际高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建筑板块普跌，个股逆势走强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独立性好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电网投资加速+海外订单预期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偏积极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午间核心观点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中国电建今日表现强势，呈现 </w:t>
      </w:r>
      <w:r>
        <w:rPr>
          <w:rFonts w:ascii="Microsoft YaHei" w:hAnsi="Microsoft YaHei"/>
          <w:b/>
          <w:color w:val="1A1A1A"/>
        </w:rPr>
        <w:t>"量价齐升、资金流入、逆板块走强"</w:t>
      </w:r>
      <w:r>
        <w:rPr>
          <w:rFonts w:ascii="Microsoft YaHei" w:hAnsi="Microsoft YaHei"/>
        </w:rPr>
        <w:t xml:space="preserve"> 的典型强股特征。半日换手率已达1.47%，较昨日放大超五成，大单资金持续净流入，主力做多意愿明确。技术面呈多头排列，股价距布林上轨仅一步之遥。叠加 </w:t>
      </w:r>
      <w:r>
        <w:rPr>
          <w:rFonts w:ascii="Microsoft YaHei" w:hAnsi="Microsoft YaHei"/>
          <w:b/>
          <w:color w:val="1A1A1A"/>
        </w:rPr>
        <w:t>国家电网2026年H1投资同比+12.6%</w:t>
      </w:r>
      <w:r>
        <w:rPr>
          <w:rFonts w:ascii="Microsoft YaHei" w:hAnsi="Microsoft YaHei"/>
        </w:rPr>
        <w:t xml:space="preserve"> 的政策利好、建筑央企海外订单扩张预期，以及 </w:t>
      </w:r>
      <w:r>
        <w:rPr>
          <w:rFonts w:ascii="Microsoft YaHei" w:hAnsi="Microsoft YaHei"/>
          <w:b/>
          <w:color w:val="1A1A1A"/>
        </w:rPr>
        <w:t>PB仅0.57倍的破净估值</w:t>
      </w:r>
      <w:r>
        <w:rPr>
          <w:rFonts w:ascii="Microsoft YaHei" w:hAnsi="Microsoft YaHei"/>
        </w:rPr>
        <w:t>，安全边际与弹性兼备。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能否突破 </w:t>
      </w:r>
      <w:r>
        <w:rPr>
          <w:rFonts w:ascii="Microsoft YaHei" w:hAnsi="Microsoft YaHei"/>
          <w:b/>
          <w:color w:val="1A1A1A"/>
        </w:rPr>
        <w:t>4.85元（布林上轨）</w:t>
      </w:r>
      <w:r>
        <w:rPr>
          <w:rFonts w:ascii="Microsoft YaHei" w:hAnsi="Microsoft YaHei"/>
        </w:rPr>
        <w:t xml:space="preserve"> 并放量站稳</w:t>
      </w:r>
    </w:p>
    <w:p>
      <w:pPr>
        <w:pStyle w:val="ListBullet"/>
      </w:pPr>
      <w:r>
        <w:rPr>
          <w:rFonts w:ascii="Microsoft YaHei" w:hAnsi="Microsoft YaHei"/>
        </w:rPr>
        <w:t>建筑板块能否跟随走强，形成板块共振</w:t>
      </w:r>
    </w:p>
    <w:p>
      <w:pPr>
        <w:pStyle w:val="ListBullet"/>
      </w:pPr>
      <w:r>
        <w:rPr>
          <w:rFonts w:ascii="Microsoft YaHei" w:hAnsi="Microsoft YaHei"/>
        </w:rPr>
        <w:t>若回调，MA5（4.82元）及MA10（4.75元）为关键防守位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中国电建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