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中国石油（601857.SH）午间分析报告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今日全市场交投活跃，情绪明显回暖。截至午间收盘，全市场成交额达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+1516亿</w:t>
      </w:r>
      <w:r>
        <w:rPr>
          <w:rFonts w:ascii="Microsoft YaHei" w:hAnsi="Microsoft YaHei"/>
        </w:rPr>
        <w:t xml:space="preserve">；上涨家数 </w:t>
      </w:r>
      <w:r>
        <w:rPr>
          <w:rFonts w:ascii="Microsoft YaHei" w:hAnsi="Microsoft YaHei"/>
          <w:b/>
          <w:color w:val="1A1A1A"/>
        </w:rPr>
        <w:t>3431只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2000只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。涨停58只、跌停19只，市场人气评分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。赚钱效应指标为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，个股普涨格局下，资金情绪偏向积极。中国石油作为上证50权重股，在此轮反弹中担当领涨角色。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最新价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11.01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+7.00%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10.37 / 11.11 / 10.36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380.03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40.99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0.23%</w:t>
            </w:r>
            <w:r>
              <w:rPr>
                <w:rFonts w:ascii="Microsoft YaHei" w:hAnsi="Microsoft YaHei"/>
                <w:sz w:val="18"/>
              </w:rPr>
              <w:t>（前日0.1116%，放量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2.06倍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10.78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10.42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1.28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20,150.61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核心解读：</w:t>
      </w:r>
    </w:p>
    <w:p>
      <w:pPr>
        <w:pStyle w:val="ListBullet"/>
      </w:pPr>
      <w:r>
        <w:rPr>
          <w:rFonts w:ascii="Microsoft YaHei" w:hAnsi="Microsoft YaHei"/>
        </w:rPr>
        <w:t xml:space="preserve">中国石油今日高开（10.37→10.29昨收），盘中一路震荡走高至 </w:t>
      </w:r>
      <w:r>
        <w:rPr>
          <w:rFonts w:ascii="Microsoft YaHei" w:hAnsi="Microsoft YaHei"/>
          <w:b/>
          <w:color w:val="1A1A1A"/>
        </w:rPr>
        <w:t>11.11</w:t>
      </w:r>
      <w:r>
        <w:rPr>
          <w:rFonts w:ascii="Microsoft YaHei" w:hAnsi="Microsoft YaHei"/>
        </w:rPr>
        <w:t xml:space="preserve"> 元，最终收于 </w:t>
      </w:r>
      <w:r>
        <w:rPr>
          <w:rFonts w:ascii="Microsoft YaHei" w:hAnsi="Microsoft YaHei"/>
          <w:b/>
          <w:color w:val="1A1A1A"/>
        </w:rPr>
        <w:t>11.01</w:t>
      </w:r>
      <w:r>
        <w:rPr>
          <w:rFonts w:ascii="Microsoft YaHei" w:hAnsi="Microsoft YaHei"/>
        </w:rPr>
        <w:t xml:space="preserve"> 元，涨幅 </w:t>
      </w:r>
      <w:r>
        <w:rPr>
          <w:rFonts w:ascii="Microsoft YaHei" w:hAnsi="Microsoft YaHei"/>
          <w:b/>
          <w:color w:val="1A1A1A"/>
        </w:rPr>
        <w:t>7.00%</w:t>
      </w:r>
      <w:r>
        <w:rPr>
          <w:rFonts w:ascii="Microsoft YaHei" w:hAnsi="Microsoft YaHei"/>
        </w:rPr>
        <w:t>，创阶段性强势表现。</w:t>
      </w:r>
    </w:p>
    <w:p>
      <w:pPr>
        <w:pStyle w:val="ListBullet"/>
      </w:pPr>
      <w:r>
        <w:rPr>
          <w:rFonts w:ascii="Microsoft YaHei" w:hAnsi="Microsoft YaHei"/>
        </w:rPr>
        <w:t xml:space="preserve">量比 </w:t>
      </w:r>
      <w:r>
        <w:rPr>
          <w:rFonts w:ascii="Microsoft YaHei" w:hAnsi="Microsoft YaHei"/>
          <w:b/>
          <w:color w:val="1A1A1A"/>
        </w:rPr>
        <w:t>1.59</w:t>
      </w:r>
      <w:r>
        <w:rPr>
          <w:rFonts w:ascii="Microsoft YaHei" w:hAnsi="Microsoft YaHei"/>
        </w:rPr>
        <w:t xml:space="preserve">，换手率较前日放大 </w:t>
      </w:r>
      <w:r>
        <w:rPr>
          <w:rFonts w:ascii="Microsoft YaHei" w:hAnsi="Microsoft YaHei"/>
          <w:b/>
          <w:color w:val="1A1A1A"/>
        </w:rPr>
        <w:t>2.06倍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价涨量增</w:t>
      </w:r>
      <w:r>
        <w:rPr>
          <w:rFonts w:ascii="Microsoft YaHei" w:hAnsi="Microsoft YaHei"/>
        </w:rPr>
        <w:t>的典型强势形态，多头动能充沛。</w:t>
      </w:r>
    </w:p>
    <w:p>
      <w:pPr>
        <w:pStyle w:val="ListBullet"/>
      </w:pPr>
      <w:r>
        <w:rPr>
          <w:rFonts w:ascii="Microsoft YaHei" w:hAnsi="Microsoft YaHei"/>
        </w:rPr>
        <w:t xml:space="preserve">动态PE仅 </w:t>
      </w:r>
      <w:r>
        <w:rPr>
          <w:rFonts w:ascii="Microsoft YaHei" w:hAnsi="Microsoft YaHei"/>
          <w:b/>
          <w:color w:val="1A1A1A"/>
        </w:rPr>
        <w:t>10.42倍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1.28倍</w:t>
      </w:r>
      <w:r>
        <w:rPr>
          <w:rFonts w:ascii="Microsoft YaHei" w:hAnsi="Microsoft YaHei"/>
        </w:rPr>
        <w:t>，估值仍处于合理偏低区域，并未因大涨出现明显泡沫。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逐分钟资金流向（今日午间）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1,977.97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1,121.9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1,648.7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-818.59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8,417.38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9,235.97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-6,451.38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23,208.85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29,660.23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+5,292.00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15,205.87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9,913.86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-1,977.97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14.72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-4.26%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0.41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+9.62%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</w:p>
    <w:p>
      <w:pPr>
        <w:pStyle w:val="ListBullet"/>
      </w:pPr>
      <w:r>
        <w:rPr>
          <w:rFonts w:ascii="Microsoft YaHei" w:hAnsi="Microsoft YaHei"/>
        </w:rPr>
        <w:t xml:space="preserve">今日午间虽录得 </w:t>
      </w:r>
      <w:r>
        <w:rPr>
          <w:rFonts w:ascii="Microsoft YaHei" w:hAnsi="Microsoft YaHei"/>
          <w:b/>
          <w:color w:val="1A1A1A"/>
        </w:rPr>
        <w:t>净流出约1,978万元</w:t>
      </w:r>
      <w:r>
        <w:rPr>
          <w:rFonts w:ascii="Microsoft YaHei" w:hAnsi="Microsoft YaHei"/>
        </w:rPr>
        <w:t xml:space="preserve">，但考虑到个股涨幅高达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>，且资金流入分钟数（65分钟）多于流出分钟数（55分钟），说明盘中存在较强的承接力量。</w:t>
      </w:r>
    </w:p>
    <w:p>
      <w:pPr>
        <w:pStyle w:val="ListBullet"/>
      </w:pPr>
      <w:r>
        <w:rPr>
          <w:rFonts w:ascii="Microsoft YaHei" w:hAnsi="Microsoft YaHei"/>
        </w:rPr>
        <w:t xml:space="preserve">上一交易日大单与中单双双净流出，合计流出超 </w:t>
      </w:r>
      <w:r>
        <w:rPr>
          <w:rFonts w:ascii="Microsoft YaHei" w:hAnsi="Microsoft YaHei"/>
          <w:b/>
          <w:color w:val="1A1A1A"/>
        </w:rPr>
        <w:t>7,270万元</w:t>
      </w:r>
      <w:r>
        <w:rPr>
          <w:rFonts w:ascii="Microsoft YaHei" w:hAnsi="Microsoft YaHei"/>
        </w:rPr>
        <w:t xml:space="preserve">，而小单净流入 </w:t>
      </w:r>
      <w:r>
        <w:rPr>
          <w:rFonts w:ascii="Microsoft YaHei" w:hAnsi="Microsoft YaHei"/>
          <w:b/>
          <w:color w:val="1A1A1A"/>
        </w:rPr>
        <w:t>5,292万元</w:t>
      </w:r>
      <w:r>
        <w:rPr>
          <w:rFonts w:ascii="Microsoft YaHei" w:hAnsi="Microsoft YaHei"/>
        </w:rPr>
        <w:t>，显示散户资金在主动承接，主力资金存在一定分歧。</w:t>
      </w:r>
    </w:p>
    <w:p>
      <w:pPr>
        <w:pStyle w:val="ListBullet"/>
      </w:pPr>
      <w:r>
        <w:rPr>
          <w:rFonts w:ascii="Microsoft YaHei" w:hAnsi="Microsoft YaHei"/>
        </w:rPr>
        <w:t xml:space="preserve">融资余额较前日下降 </w:t>
      </w:r>
      <w:r>
        <w:rPr>
          <w:rFonts w:ascii="Microsoft YaHei" w:hAnsi="Microsoft YaHei"/>
          <w:b/>
          <w:color w:val="1A1A1A"/>
        </w:rPr>
        <w:t>4.26%</w:t>
      </w:r>
      <w:r>
        <w:rPr>
          <w:rFonts w:ascii="Microsoft YaHei" w:hAnsi="Microsoft YaHei"/>
        </w:rPr>
        <w:t xml:space="preserve">（至14.72亿），融券余额上升 </w:t>
      </w:r>
      <w:r>
        <w:rPr>
          <w:rFonts w:ascii="Microsoft YaHei" w:hAnsi="Microsoft YaHei"/>
          <w:b/>
          <w:color w:val="1A1A1A"/>
        </w:rPr>
        <w:t>9.62%</w:t>
      </w:r>
      <w:r>
        <w:rPr>
          <w:rFonts w:ascii="Microsoft YaHei" w:hAnsi="Microsoft YaHei"/>
        </w:rPr>
        <w:t>（至0.41亿），部分杠杆资金在昨日选择回撤，做空力量有所增加。今日大涨后，需要关注后续融资盘是否重新入场。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MA5（≈10.78）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MA10（≈10.39）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MA20/布林中轨（≈9.71）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+13.4%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布林上轨（11.25）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距上轨仅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布林下轨（8.17）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技术面解读：</w:t>
      </w:r>
    </w:p>
    <w:p>
      <w:pPr>
        <w:pStyle w:val="ListBullet"/>
      </w:pPr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11.01元</w:t>
      </w:r>
      <w:r>
        <w:rPr>
          <w:rFonts w:ascii="Microsoft YaHei" w:hAnsi="Microsoft YaHei"/>
        </w:rPr>
        <w:t xml:space="preserve"> 已强势站上 </w:t>
      </w:r>
      <w:r>
        <w:rPr>
          <w:rFonts w:ascii="Microsoft YaHei" w:hAnsi="Microsoft YaHei"/>
          <w:b/>
          <w:color w:val="1A1A1A"/>
        </w:rPr>
        <w:t>MA5、MA10、MA20</w:t>
      </w:r>
      <w:r>
        <w:rPr>
          <w:rFonts w:ascii="Microsoft YaHei" w:hAnsi="Microsoft YaHei"/>
        </w:rPr>
        <w:t xml:space="preserve"> 三条短期均线，形成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态势。MA5（10.78）成为短期支撑，MA10（10.39）为次级支撑。</w:t>
      </w:r>
    </w:p>
    <w:p>
      <w:pPr>
        <w:pStyle w:val="ListBullet"/>
      </w:pPr>
      <w:r>
        <w:rPr>
          <w:rFonts w:ascii="Microsoft YaHei" w:hAnsi="Microsoft YaHei"/>
        </w:rPr>
        <w:t xml:space="preserve">股价偏离MA20/中轨高达 </w:t>
      </w:r>
      <w:r>
        <w:rPr>
          <w:rFonts w:ascii="Microsoft YaHei" w:hAnsi="Microsoft YaHei"/>
          <w:b/>
          <w:color w:val="1A1A1A"/>
        </w:rPr>
        <w:t>+13.4%</w:t>
      </w:r>
      <w:r>
        <w:rPr>
          <w:rFonts w:ascii="Microsoft YaHei" w:hAnsi="Microsoft YaHei"/>
        </w:rPr>
        <w:t>，短期乖离率较大，需要警惕技术性回调风险。</w:t>
      </w:r>
    </w:p>
    <w:p>
      <w:pPr>
        <w:pStyle w:val="ListBullet"/>
      </w:pPr>
      <w:r>
        <w:rPr>
          <w:rFonts w:ascii="Microsoft YaHei" w:hAnsi="Microsoft YaHei"/>
        </w:rPr>
        <w:t xml:space="preserve">布林上轨位于 </w:t>
      </w:r>
      <w:r>
        <w:rPr>
          <w:rFonts w:ascii="Microsoft YaHei" w:hAnsi="Microsoft YaHei"/>
          <w:b/>
          <w:color w:val="1A1A1A"/>
        </w:rPr>
        <w:t>11.25元</w:t>
      </w:r>
      <w:r>
        <w:rPr>
          <w:rFonts w:ascii="Microsoft YaHei" w:hAnsi="Microsoft YaHei"/>
        </w:rPr>
        <w:t xml:space="preserve">，当前价距上轨仅 </w:t>
      </w:r>
      <w:r>
        <w:rPr>
          <w:rFonts w:ascii="Microsoft YaHei" w:hAnsi="Microsoft YaHei"/>
          <w:b/>
          <w:color w:val="1A1A1A"/>
        </w:rPr>
        <w:t>2.2%</w:t>
      </w:r>
      <w:r>
        <w:rPr>
          <w:rFonts w:ascii="Microsoft YaHei" w:hAnsi="Microsoft YaHei"/>
        </w:rPr>
        <w:t>，若午后继续上攻，将面临布林上轨的阻力压制。</w:t>
      </w:r>
    </w:p>
    <w:p>
      <w:pPr>
        <w:pStyle w:val="ListBullet"/>
      </w:pPr>
      <w:r>
        <w:rPr>
          <w:rFonts w:ascii="Microsoft YaHei" w:hAnsi="Microsoft YaHei"/>
        </w:rPr>
        <w:t xml:space="preserve">振幅 </w:t>
      </w:r>
      <w:r>
        <w:rPr>
          <w:rFonts w:ascii="Microsoft YaHei" w:hAnsi="Microsoft YaHei"/>
          <w:b/>
          <w:color w:val="1A1A1A"/>
        </w:rPr>
        <w:t>7.29%</w:t>
      </w:r>
      <w:r>
        <w:rPr>
          <w:rFonts w:ascii="Microsoft YaHei" w:hAnsi="Microsoft YaHei"/>
        </w:rPr>
        <w:t>，显示多空博弈激烈，但最终多头占据主导。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化工/能源板块上涨催化</w:t>
      </w:r>
    </w:p>
    <w:p>
      <w:r>
        <w:rPr>
          <w:rFonts w:ascii="Microsoft YaHei" w:hAnsi="Microsoft YaHei"/>
        </w:rPr>
        <w:t>据中信建投证券研报指出，</w:t>
      </w:r>
      <w:r>
        <w:rPr>
          <w:rFonts w:ascii="Microsoft YaHei" w:hAnsi="Microsoft YaHei"/>
          <w:b/>
          <w:color w:val="1A1A1A"/>
        </w:rPr>
        <w:t>6月化工品出口延续高位</w:t>
      </w:r>
      <w:r>
        <w:rPr>
          <w:rFonts w:ascii="Microsoft YaHei" w:hAnsi="Microsoft YaHei"/>
        </w:rPr>
        <w:t xml:space="preserve">，当月出口金额 </w:t>
      </w:r>
      <w:r>
        <w:rPr>
          <w:rFonts w:ascii="Microsoft YaHei" w:hAnsi="Microsoft YaHei"/>
          <w:b/>
          <w:color w:val="1A1A1A"/>
        </w:rPr>
        <w:t>3,025亿元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22.7%</w:t>
      </w:r>
      <w:r>
        <w:rPr>
          <w:rFonts w:ascii="Microsoft YaHei" w:hAnsi="Microsoft YaHei"/>
        </w:rPr>
        <w:t xml:space="preserve">、环比增长 </w:t>
      </w:r>
      <w:r>
        <w:rPr>
          <w:rFonts w:ascii="Microsoft YaHei" w:hAnsi="Microsoft YaHei"/>
          <w:b/>
          <w:color w:val="1A1A1A"/>
        </w:rPr>
        <w:t>3.4%</w:t>
      </w:r>
      <w:r>
        <w:rPr>
          <w:rFonts w:ascii="Microsoft YaHei" w:hAnsi="Microsoft YaHei"/>
        </w:rPr>
        <w:t xml:space="preserve">；1-6月累计出口金额 </w:t>
      </w:r>
      <w:r>
        <w:rPr>
          <w:rFonts w:ascii="Microsoft YaHei" w:hAnsi="Microsoft YaHei"/>
          <w:b/>
          <w:color w:val="1A1A1A"/>
        </w:rPr>
        <w:t>16,045亿元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13.7%</w:t>
      </w:r>
      <w:r>
        <w:rPr>
          <w:rFonts w:ascii="Microsoft YaHei" w:hAnsi="Microsoft YaHei"/>
        </w:rPr>
        <w:t>。出口数据的超预期表现，对石油化工产业链形成正面提振。</w:t>
      </w:r>
    </w:p>
    <w:p>
      <w:r>
        <w:rPr>
          <w:rFonts w:ascii="Microsoft YaHei" w:hAnsi="Microsoft YaHei"/>
        </w:rPr>
        <w:t>此外，今日能源板块集体走强：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综合性石油与天然气企业板块</w:t>
      </w:r>
      <w:r>
        <w:rPr>
          <w:rFonts w:ascii="Microsoft YaHei" w:hAnsi="Microsoft YaHei"/>
        </w:rPr>
        <w:t xml:space="preserve">（700452.TI）：涨幅 </w:t>
      </w:r>
      <w:r>
        <w:rPr>
          <w:rFonts w:ascii="Microsoft YaHei" w:hAnsi="Microsoft YaHei"/>
          <w:b/>
          <w:color w:val="1A1A1A"/>
        </w:rPr>
        <w:t>+5.68%</w:t>
      </w:r>
      <w:r>
        <w:rPr>
          <w:rFonts w:ascii="Microsoft YaHei" w:hAnsi="Microsoft YaHei"/>
        </w:rPr>
        <w:t xml:space="preserve">，板块内3只成分股全线上涨，中国石油以 </w:t>
      </w:r>
      <w:r>
        <w:rPr>
          <w:rFonts w:ascii="Microsoft YaHei" w:hAnsi="Microsoft YaHei"/>
          <w:b/>
          <w:color w:val="1A1A1A"/>
        </w:rPr>
        <w:t>+7.00%</w:t>
      </w:r>
      <w:r>
        <w:rPr>
          <w:rFonts w:ascii="Microsoft YaHei" w:hAnsi="Microsoft YaHei"/>
        </w:rPr>
        <w:t xml:space="preserve"> 领涨，广汇能源（+5.88%）、中国石化（+4.17%）紧随其后。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能源(A股)板块</w:t>
      </w:r>
      <w:r>
        <w:rPr>
          <w:rFonts w:ascii="Microsoft YaHei" w:hAnsi="Microsoft YaHei"/>
        </w:rPr>
        <w:t xml:space="preserve">（700301.TI）：涨幅 </w:t>
      </w:r>
      <w:r>
        <w:rPr>
          <w:rFonts w:ascii="Microsoft YaHei" w:hAnsi="Microsoft YaHei"/>
          <w:b/>
          <w:color w:val="1A1A1A"/>
        </w:rPr>
        <w:t>+2.62%</w:t>
      </w:r>
      <w:r>
        <w:rPr>
          <w:rFonts w:ascii="Microsoft YaHei" w:hAnsi="Microsoft YaHei"/>
        </w:rPr>
        <w:t>，通源石油（+16.41%）、潜能恒信（+11.68%）等中小能源股涨幅居前。</w:t>
      </w:r>
    </w:p>
    <w:p>
      <w:r>
        <w:rPr>
          <w:rFonts w:ascii="Microsoft YaHei" w:hAnsi="Microsoft YaHei"/>
          <w:b/>
          <w:color w:val="1A1A1A"/>
        </w:rPr>
        <w:t>宏观背景</w:t>
      </w:r>
      <w:r>
        <w:rPr>
          <w:rFonts w:ascii="Microsoft YaHei" w:hAnsi="Microsoft YaHei"/>
        </w:rPr>
        <w:t>：国际油价近期维持高位震荡，叠加国内宏观政策预期改善、出口数据亮眼，能源股作为高股息、低估值的防御+周期双重属性品种，在当前市场风格切换中受到资金青睐。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表现评价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 领跑蓝筹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3/55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 核心权重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12/197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 权重前列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能源板块(A股)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20/83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 板块共振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综合性石油与天然气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+5.68%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1/3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★★★★★ 板块龙头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融资融券板块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94/3516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整体偏弱，个股独立走强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板块关联解读：</w:t>
      </w:r>
    </w:p>
    <w:p>
      <w:pPr>
        <w:pStyle w:val="ListBullet"/>
      </w:pPr>
      <w:r>
        <w:rPr>
          <w:rFonts w:ascii="Microsoft YaHei" w:hAnsi="Microsoft YaHei"/>
        </w:rPr>
        <w:t xml:space="preserve">中国石油在上证50样本股中排名 </w:t>
      </w:r>
      <w:r>
        <w:rPr>
          <w:rFonts w:ascii="Microsoft YaHei" w:hAnsi="Microsoft YaHei"/>
          <w:b/>
          <w:color w:val="1A1A1A"/>
        </w:rPr>
        <w:t>第3/55</w:t>
      </w:r>
      <w:r>
        <w:rPr>
          <w:rFonts w:ascii="Microsoft YaHei" w:hAnsi="Microsoft YaHei"/>
        </w:rPr>
        <w:t>，仅次于金山办公和中国铝业，是今日大盘指数上攻的核心驱动力之一。</w:t>
      </w:r>
    </w:p>
    <w:p>
      <w:pPr>
        <w:pStyle w:val="ListBullet"/>
      </w:pPr>
      <w:r>
        <w:rPr>
          <w:rFonts w:ascii="Microsoft YaHei" w:hAnsi="Microsoft YaHei"/>
        </w:rPr>
        <w:t xml:space="preserve">在综合性石油与天然气企业板块中排名 </w:t>
      </w:r>
      <w:r>
        <w:rPr>
          <w:rFonts w:ascii="Microsoft YaHei" w:hAnsi="Microsoft YaHei"/>
          <w:b/>
          <w:color w:val="1A1A1A"/>
        </w:rPr>
        <w:t>第1/3</w:t>
      </w:r>
      <w:r>
        <w:rPr>
          <w:rFonts w:ascii="Microsoft YaHei" w:hAnsi="Microsoft YaHei"/>
        </w:rPr>
        <w:t>，完全确立了板块龙头的地位。</w:t>
      </w:r>
    </w:p>
    <w:p>
      <w:pPr>
        <w:pStyle w:val="ListBullet"/>
      </w:pPr>
      <w:r>
        <w:rPr>
          <w:rFonts w:ascii="Microsoft YaHei" w:hAnsi="Microsoft YaHei"/>
        </w:rPr>
        <w:t xml:space="preserve">值得注意的是，融资融券整体板块下跌 </w:t>
      </w:r>
      <w:r>
        <w:rPr>
          <w:rFonts w:ascii="Microsoft YaHei" w:hAnsi="Microsoft YaHei"/>
          <w:b/>
          <w:color w:val="1A1A1A"/>
        </w:rPr>
        <w:t>1.92%</w:t>
      </w:r>
      <w:r>
        <w:rPr>
          <w:rFonts w:ascii="Microsoft YaHei" w:hAnsi="Microsoft YaHei"/>
        </w:rPr>
        <w:t>，说明今日行情并非普涨式全面开花，而是</w:t>
      </w:r>
      <w:r>
        <w:rPr>
          <w:rFonts w:ascii="Microsoft YaHei" w:hAnsi="Microsoft YaHei"/>
          <w:b/>
          <w:color w:val="1A1A1A"/>
        </w:rPr>
        <w:t>结构性分化</w:t>
      </w:r>
      <w:r>
        <w:rPr>
          <w:rFonts w:ascii="Microsoft YaHei" w:hAnsi="Microsoft YaHei"/>
        </w:rPr>
        <w:t>——资金集中涌入权重蓝筹和能源主线，中小市值题材股表现相对疲弱。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p>
      <w:r>
        <w:rPr>
          <w:rFonts w:ascii="Microsoft YaHei" w:hAnsi="Microsoft YaHei"/>
          <w:b/>
          <w:color w:val="1A1A1A"/>
        </w:rPr>
        <w:t>看多因素：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价涨量增形态明确</w:t>
      </w:r>
      <w:r>
        <w:rPr>
          <w:rFonts w:ascii="Microsoft YaHei" w:hAnsi="Microsoft YaHei"/>
        </w:rPr>
        <w:t>：涨幅7%伴随量比1.59、换手率放大2倍，多头动能充足。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估值仍具安全垫</w:t>
      </w:r>
      <w:r>
        <w:rPr>
          <w:rFonts w:ascii="Microsoft YaHei" w:hAnsi="Microsoft YaHei"/>
        </w:rPr>
        <w:t xml:space="preserve">：动态PE </w:t>
      </w:r>
      <w:r>
        <w:rPr>
          <w:rFonts w:ascii="Microsoft YaHei" w:hAnsi="Microsoft YaHei"/>
          <w:b/>
          <w:color w:val="1A1A1A"/>
        </w:rPr>
        <w:t>10.42倍</w:t>
      </w:r>
      <w:r>
        <w:rPr>
          <w:rFonts w:ascii="Microsoft YaHei" w:hAnsi="Microsoft YaHei"/>
        </w:rPr>
        <w:t xml:space="preserve">、PB </w:t>
      </w:r>
      <w:r>
        <w:rPr>
          <w:rFonts w:ascii="Microsoft YaHei" w:hAnsi="Microsoft YaHei"/>
          <w:b/>
          <w:color w:val="1A1A1A"/>
        </w:rPr>
        <w:t>1.28倍</w:t>
      </w:r>
      <w:r>
        <w:rPr>
          <w:rFonts w:ascii="Microsoft YaHei" w:hAnsi="Microsoft YaHei"/>
        </w:rPr>
        <w:t>，在大涨后依旧处于历史合理偏低区间。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板块龙头地位突出</w:t>
      </w:r>
      <w:r>
        <w:rPr>
          <w:rFonts w:ascii="Microsoft YaHei" w:hAnsi="Microsoft YaHei"/>
        </w:rPr>
        <w:t>：在上证50、能源板块均位列前茅，资金辨识度高，具备指数共振效应。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出口数据超预期</w:t>
      </w:r>
      <w:r>
        <w:rPr>
          <w:rFonts w:ascii="Microsoft YaHei" w:hAnsi="Microsoft YaHei"/>
        </w:rPr>
        <w:t>：化工品出口高增对石油石化产业链形成基本面支撑。</w:t>
      </w:r>
    </w:p>
    <w:p>
      <w:r>
        <w:rPr>
          <w:rFonts w:ascii="Microsoft YaHei" w:hAnsi="Microsoft YaHei"/>
          <w:b/>
          <w:color w:val="1A1A1A"/>
        </w:rPr>
        <w:t>风险提示：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短线乖离率偏大</w:t>
      </w:r>
      <w:r>
        <w:rPr>
          <w:rFonts w:ascii="Microsoft YaHei" w:hAnsi="Microsoft YaHei"/>
        </w:rPr>
        <w:t xml:space="preserve">：股价偏离MA20达 </w:t>
      </w:r>
      <w:r>
        <w:rPr>
          <w:rFonts w:ascii="Microsoft YaHei" w:hAnsi="Microsoft YaHei"/>
          <w:b/>
          <w:color w:val="1A1A1A"/>
        </w:rPr>
        <w:t>+13.4%</w:t>
      </w:r>
      <w:r>
        <w:rPr>
          <w:rFonts w:ascii="Microsoft YaHei" w:hAnsi="Microsoft YaHei"/>
        </w:rPr>
        <w:t>，偏离布林中轨幅度较大，技术性回调压力不容忽视。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接近布林上轨阻力</w:t>
      </w:r>
      <w:r>
        <w:rPr>
          <w:rFonts w:ascii="Microsoft YaHei" w:hAnsi="Microsoft YaHei"/>
        </w:rPr>
        <w:t xml:space="preserve">：布林上轨 </w:t>
      </w:r>
      <w:r>
        <w:rPr>
          <w:rFonts w:ascii="Microsoft YaHei" w:hAnsi="Microsoft YaHei"/>
          <w:b/>
          <w:color w:val="1A1A1A"/>
        </w:rPr>
        <w:t>11.25元</w:t>
      </w:r>
      <w:r>
        <w:rPr>
          <w:rFonts w:ascii="Microsoft YaHei" w:hAnsi="Microsoft YaHei"/>
        </w:rPr>
        <w:t xml:space="preserve"> 近在咫尺，午后若冲击该位置未能有效突破，可能引发短线获利盘回吐。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资金面存在分歧</w:t>
      </w:r>
      <w:r>
        <w:rPr>
          <w:rFonts w:ascii="Microsoft YaHei" w:hAnsi="Microsoft YaHei"/>
        </w:rPr>
        <w:t xml:space="preserve">：今日逐分钟数据显示净流出约 </w:t>
      </w:r>
      <w:r>
        <w:rPr>
          <w:rFonts w:ascii="Microsoft YaHei" w:hAnsi="Microsoft YaHei"/>
          <w:b/>
          <w:color w:val="1A1A1A"/>
        </w:rPr>
        <w:t>1,978万元</w:t>
      </w:r>
      <w:r>
        <w:rPr>
          <w:rFonts w:ascii="Microsoft YaHei" w:hAnsi="Microsoft YaHei"/>
        </w:rPr>
        <w:t>，融资余额连续下降，主力资金尚未形成一致做多合力。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融券余额上升</w:t>
      </w:r>
      <w:r>
        <w:rPr>
          <w:rFonts w:ascii="Microsoft YaHei" w:hAnsi="Microsoft YaHei"/>
        </w:rPr>
        <w:t xml:space="preserve">：融券余额较前日增加 </w:t>
      </w:r>
      <w:r>
        <w:rPr>
          <w:rFonts w:ascii="Microsoft YaHei" w:hAnsi="Microsoft YaHei"/>
          <w:b/>
          <w:color w:val="1A1A1A"/>
        </w:rPr>
        <w:t>9.62%</w:t>
      </w:r>
      <w:r>
        <w:rPr>
          <w:rFonts w:ascii="Microsoft YaHei" w:hAnsi="Microsoft YaHei"/>
        </w:rPr>
        <w:t>，做空力量有所积聚。</w:t>
      </w:r>
    </w:p>
    <w:p>
      <w:r>
        <w:rPr>
          <w:rFonts w:ascii="Microsoft YaHei" w:hAnsi="Microsoft YaHei"/>
          <w:b/>
          <w:color w:val="1A1A1A"/>
        </w:rPr>
        <w:t>综合判断：</w:t>
      </w:r>
    </w:p>
    <w:p>
      <w:r>
        <w:rPr>
          <w:rFonts w:ascii="Microsoft YaHei" w:hAnsi="Microsoft YaHei"/>
        </w:rPr>
        <w:t>中国石油今日走出</w:t>
      </w:r>
      <w:r>
        <w:rPr>
          <w:rFonts w:ascii="Microsoft YaHei" w:hAnsi="Microsoft YaHei"/>
          <w:b/>
          <w:color w:val="1A1A1A"/>
        </w:rPr>
        <w:t>放量大涨</w:t>
      </w:r>
      <w:r>
        <w:rPr>
          <w:rFonts w:ascii="Microsoft YaHei" w:hAnsi="Microsoft YaHei"/>
        </w:rPr>
        <w:t>的强势行情，在板块共振、出口数据催化、低估值修复三重逻辑驱动下，成为今日市场的</w:t>
      </w:r>
      <w:r>
        <w:rPr>
          <w:rFonts w:ascii="Microsoft YaHei" w:hAnsi="Microsoft YaHei"/>
          <w:b/>
          <w:color w:val="1A1A1A"/>
        </w:rPr>
        <w:t>核心领涨标的</w:t>
      </w:r>
      <w:r>
        <w:rPr>
          <w:rFonts w:ascii="Microsoft YaHei" w:hAnsi="Microsoft YaHei"/>
        </w:rPr>
        <w:t xml:space="preserve">。短线来看，股价已进入 </w:t>
      </w:r>
      <w:r>
        <w:rPr>
          <w:rFonts w:ascii="Microsoft YaHei" w:hAnsi="Microsoft YaHei"/>
          <w:b/>
          <w:color w:val="1A1A1A"/>
        </w:rPr>
        <w:t>11.00~11.32（涨停价）</w:t>
      </w:r>
      <w:r>
        <w:rPr>
          <w:rFonts w:ascii="Microsoft YaHei" w:hAnsi="Microsoft YaHei"/>
        </w:rPr>
        <w:t xml:space="preserve"> 的强势区间，布林上轨附近存在一定压力，午后需重点关注量能能否持续以及上轨突破情况。中长期维度，低估值+高股息+能源安全主线逻辑依然成立，但短期追高需注意技术性回调风险。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：以上分析基于公开数据整理，不构成投资建议。股市有风险，投资需谨慎。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中国石油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