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中国联通（600050.SH）午间分析报告</w:t>
      </w:r>
    </w:p>
    <w:p>
      <w:r>
        <w:rPr>
          <w:rFonts w:ascii="Microsoft YaHei" w:hAnsi="Microsoft YaHei"/>
          <w:b/>
          <w:color w:val="1A1A1A"/>
        </w:rPr>
        <w:t>数据截至：今日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今日全市场情绪良好，市场热度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 万亿（+1516 亿）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。涨停梯队方面，一板 51 只、二板 3 只、三板 3 只、高度板 1 只，赚钱效应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。涨跌分布为 </w:t>
      </w:r>
      <w:r>
        <w:rPr>
          <w:rFonts w:ascii="Microsoft YaHei" w:hAnsi="Microsoft YaHei"/>
          <w:b/>
          <w:color w:val="1A1A1A"/>
        </w:rPr>
        <w:t>上涨 3431 / 下跌 2000 / 涨停 58 / 跌停 19</w:t>
      </w:r>
      <w:r>
        <w:rPr>
          <w:rFonts w:ascii="Microsoft YaHei" w:hAnsi="Microsoft YaHei"/>
        </w:rPr>
        <w:t xml:space="preserve">，市场人气较好，涨幅主要集中于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>权重板块表现突出，</w:t>
      </w:r>
      <w:r>
        <w:rPr>
          <w:rFonts w:ascii="Microsoft YaHei" w:hAnsi="Microsoft YaHei"/>
          <w:b/>
          <w:color w:val="1A1A1A"/>
        </w:rPr>
        <w:t>上证 50 成分股整体 +3.11%</w:t>
      </w:r>
      <w:r>
        <w:rPr>
          <w:rFonts w:ascii="Microsoft YaHei" w:hAnsi="Microsoft YaHei"/>
        </w:rPr>
        <w:t xml:space="preserve">，上证 180 成分股 </w:t>
      </w:r>
      <w:r>
        <w:rPr>
          <w:rFonts w:ascii="Microsoft YaHei" w:hAnsi="Microsoft YaHei"/>
          <w:b/>
          <w:color w:val="1A1A1A"/>
        </w:rPr>
        <w:t>+1.79%</w:t>
      </w:r>
      <w:r>
        <w:rPr>
          <w:rFonts w:ascii="Microsoft YaHei" w:hAnsi="Microsoft YaHei"/>
        </w:rPr>
        <w:t>，大盘蓝筹风格明显占优。中国联通作为三大运营商之一，受益于市场整体回暖与权重股行情共振。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核心交易数据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+3.29%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4.26 / 4.40 / 4.26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全天高位运行，开于昨收后震荡上行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3,218,302 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140,202 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较上一交易日日终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0.62%</w:t>
            </w:r>
            <w:r>
              <w:rPr>
                <w:rFonts w:ascii="Microsoft YaHei" w:hAnsi="Microsoft YaHei"/>
                <w:sz w:val="18"/>
              </w:rPr>
              <w:t xml:space="preserve"> 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1.67 倍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与涨幅持平，全天趋势性拉升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明显高于 1，交投活跃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4.40 高于均价，盘中买方力量占优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16.09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0.81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1,375.63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1,363.58 亿元</w:t>
            </w:r>
          </w:p>
        </w:tc>
      </w:tr>
    </w:tbl>
    <w:p/>
    <w:p>
      <w:r>
        <w:rPr>
          <w:rFonts w:ascii="Microsoft YaHei" w:hAnsi="Microsoft YaHei"/>
        </w:rPr>
        <w:t xml:space="preserve">&gt; 市净率 </w:t>
      </w:r>
      <w:r>
        <w:rPr>
          <w:rFonts w:ascii="Microsoft YaHei" w:hAnsi="Microsoft YaHei"/>
          <w:b/>
          <w:color w:val="1A1A1A"/>
        </w:rPr>
        <w:t>低于 1</w:t>
      </w:r>
      <w:r>
        <w:rPr>
          <w:rFonts w:ascii="Microsoft YaHei" w:hAnsi="Microsoft YaHei"/>
        </w:rPr>
        <w:t xml:space="preserve">（破净状态），但动态市盈率 </w:t>
      </w:r>
      <w:r>
        <w:rPr>
          <w:rFonts w:ascii="Microsoft YaHei" w:hAnsi="Microsoft YaHei"/>
          <w:b/>
          <w:color w:val="1A1A1A"/>
        </w:rPr>
        <w:t>16.09 倍</w:t>
      </w:r>
      <w:r>
        <w:rPr>
          <w:rFonts w:ascii="Microsoft YaHei" w:hAnsi="Microsoft YaHei"/>
        </w:rPr>
        <w:t>处于合理区间。作为大型央企电信运营商，估值具备安全边际。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+2,090.89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1,881.8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1,358.5 万元</w:t>
            </w:r>
          </w:p>
        </w:tc>
      </w:tr>
    </w:tbl>
    <w:p/>
    <w:p>
      <w:r>
        <w:rPr>
          <w:rFonts w:ascii="Microsoft YaHei" w:hAnsi="Microsoft YaHei"/>
        </w:rPr>
        <w:t>资金净流入态势明确，流入分钟数多于流出分钟数，且最大单笔流入力度大于流出，说明主动买盘更为积极。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上一个交易日资金细分（已公布数据）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+4,664,407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主力资金呈净流入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+414,923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+15,829,606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散户资金大额净流入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+20,908,936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全口径净流入</w:t>
            </w:r>
          </w:p>
        </w:tc>
      </w:tr>
    </w:tbl>
    <w:p/>
    <w:p>
      <w:r>
        <w:rPr>
          <w:rFonts w:ascii="Microsoft YaHei" w:hAnsi="Microsoft YaHei"/>
        </w:rPr>
        <w:t xml:space="preserve">&gt; 上一个交易日即呈现全线净流入格局，其中小单资金净流入规模最大（+1,582.96 万），说明市场情绪回暖后散户跟买意愿强烈；大单净流入 </w:t>
      </w:r>
      <w:r>
        <w:rPr>
          <w:rFonts w:ascii="Microsoft YaHei" w:hAnsi="Microsoft YaHei"/>
          <w:b/>
          <w:color w:val="1A1A1A"/>
        </w:rPr>
        <w:t>466.44 万</w:t>
      </w:r>
      <w:r>
        <w:rPr>
          <w:rFonts w:ascii="Microsoft YaHei" w:hAnsi="Microsoft YaHei"/>
        </w:rPr>
        <w:t>，主力资金已有提前布局迹象。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28.11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0.10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+6.22%</w:t>
            </w:r>
          </w:p>
        </w:tc>
      </w:tr>
    </w:tbl>
    <w:p/>
    <w:p>
      <w:r>
        <w:rPr>
          <w:rFonts w:ascii="Microsoft YaHei" w:hAnsi="Microsoft YaHei"/>
        </w:rPr>
        <w:t>融资余额微降，融券余额小幅上升，但两融总量占比极低，对股价影响有限。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4.42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  <w:r>
              <w:rPr>
                <w:rFonts w:ascii="Microsoft YaHei" w:hAnsi="Microsoft YaHei"/>
                <w:sz w:val="18"/>
              </w:rPr>
              <w:t>（略低于）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 MA5，短期面临确认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4.32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  <w:r>
              <w:rPr>
                <w:rFonts w:ascii="Microsoft YaHei" w:hAnsi="Microsoft YaHei"/>
                <w:sz w:val="18"/>
              </w:rPr>
              <w:t>（突破站稳）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短线趋势走强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4.19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+5.0%</w:t>
            </w:r>
            <w:r>
              <w:rPr>
                <w:rFonts w:ascii="Microsoft YaHei" w:hAnsi="Microsoft YaHei"/>
                <w:sz w:val="18"/>
              </w:rPr>
              <w:t>（强势突破）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中期趋势向好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3.89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处于中轨与上轨之间偏上位置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技术综合研判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4.40 元</w:t>
      </w:r>
      <w:r>
        <w:rPr>
          <w:rFonts w:ascii="Microsoft YaHei" w:hAnsi="Microsoft YaHei"/>
        </w:rPr>
        <w:t xml:space="preserve"> 已站稳 MA10（4.32）和 MA20（4.19），中期支撑有效</w:t>
      </w:r>
    </w:p>
    <w:p>
      <w:pPr>
        <w:pStyle w:val="ListBullet"/>
      </w:pPr>
      <w:r>
        <w:rPr>
          <w:rFonts w:ascii="Microsoft YaHei" w:hAnsi="Microsoft YaHei"/>
        </w:rPr>
        <w:t xml:space="preserve">距 MA5（4.42）仅一步之遥，午后若能站上 </w:t>
      </w:r>
      <w:r>
        <w:rPr>
          <w:rFonts w:ascii="Microsoft YaHei" w:hAnsi="Microsoft YaHei"/>
          <w:b/>
          <w:color w:val="1A1A1A"/>
        </w:rPr>
        <w:t>4.42 元</w:t>
      </w:r>
      <w:r>
        <w:rPr>
          <w:rFonts w:ascii="Microsoft YaHei" w:hAnsi="Microsoft YaHei"/>
        </w:rPr>
        <w:t>，则短期均线系统将全面形成多头排列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距布林带上轨（4.49）约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空间，若量能持续配合，存在向上挑战上轨的动能</w:t>
      </w:r>
    </w:p>
    <w:p>
      <w:pPr>
        <w:pStyle w:val="ListBullet"/>
      </w:pPr>
      <w:r>
        <w:rPr>
          <w:rFonts w:ascii="Microsoft YaHei" w:hAnsi="Microsoft YaHei"/>
        </w:rPr>
        <w:t>若受阻回落，MA10（4.32）和 MA20（4.19）构成双重支撑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板块关联表现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上证180成分股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电信业务(A股)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3/13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综合电信业务Ⅲ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-0.07%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3/10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30/444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权重板块表现强势</w:t>
      </w:r>
      <w:r>
        <w:rPr>
          <w:rFonts w:ascii="Microsoft YaHei" w:hAnsi="Microsoft YaHei"/>
        </w:rPr>
        <w:t xml:space="preserve">：上证 50 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，中国联通在沪深300样本股中排名 </w:t>
      </w:r>
      <w:r>
        <w:rPr>
          <w:rFonts w:ascii="Microsoft YaHei" w:hAnsi="Microsoft YaHei"/>
          <w:b/>
          <w:color w:val="1A1A1A"/>
        </w:rPr>
        <w:t>90/319</w:t>
      </w:r>
      <w:r>
        <w:rPr>
          <w:rFonts w:ascii="Microsoft YaHei" w:hAnsi="Microsoft YaHei"/>
        </w:rPr>
        <w:t xml:space="preserve">，在上证50中排名 </w:t>
      </w:r>
      <w:r>
        <w:rPr>
          <w:rFonts w:ascii="Microsoft YaHei" w:hAnsi="Microsoft YaHei"/>
          <w:b/>
          <w:color w:val="1A1A1A"/>
        </w:rPr>
        <w:t>28/55</w:t>
      </w:r>
      <w:r>
        <w:rPr>
          <w:rFonts w:ascii="Microsoft YaHei" w:hAnsi="Microsoft YaHei"/>
        </w:rPr>
        <w:t>，表现处于中上水平，受益于大盘蓝筹行情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电信板块整体偏弱但个股分化</w:t>
      </w:r>
      <w:r>
        <w:rPr>
          <w:rFonts w:ascii="Microsoft YaHei" w:hAnsi="Microsoft YaHei"/>
        </w:rPr>
        <w:t xml:space="preserve">：电信业务板块整体 </w:t>
      </w:r>
      <w:r>
        <w:rPr>
          <w:rFonts w:ascii="Microsoft YaHei" w:hAnsi="Microsoft YaHei"/>
          <w:b/>
          <w:color w:val="1A1A1A"/>
        </w:rPr>
        <w:t>-1.66%</w:t>
      </w:r>
      <w:r>
        <w:rPr>
          <w:rFonts w:ascii="Microsoft YaHei" w:hAnsi="Microsoft YaHei"/>
        </w:rPr>
        <w:t xml:space="preserve">，但中国联通 </w:t>
      </w:r>
      <w:r>
        <w:rPr>
          <w:rFonts w:ascii="Microsoft YaHei" w:hAnsi="Microsoft YaHei"/>
          <w:b/>
          <w:color w:val="1A1A1A"/>
        </w:rPr>
        <w:t>+3.29%</w:t>
      </w:r>
      <w:r>
        <w:rPr>
          <w:rFonts w:ascii="Microsoft YaHei" w:hAnsi="Microsoft YaHei"/>
        </w:rPr>
        <w:t xml:space="preserve"> 位列板块第 3，仅次于梦网科技（+8.51%）和中国电信（+3.83%），中国移动亦录得 </w:t>
      </w:r>
      <w:r>
        <w:rPr>
          <w:rFonts w:ascii="Microsoft YaHei" w:hAnsi="Microsoft YaHei"/>
          <w:b/>
          <w:color w:val="1A1A1A"/>
        </w:rPr>
        <w:t>+2.57%</w:t>
      </w:r>
      <w:r>
        <w:rPr>
          <w:rFonts w:ascii="Microsoft YaHei" w:hAnsi="Microsoft YaHei"/>
        </w:rPr>
        <w:t>，三大运营商集体走强，说明权重资金正在向该赛道集聚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与同梯队个股对比</w:t>
      </w:r>
      <w:r>
        <w:rPr>
          <w:rFonts w:ascii="Microsoft YaHei" w:hAnsi="Microsoft YaHei"/>
        </w:rPr>
        <w:t>：在沪深300样本股中，中国联通涨幅（+3.29%）与中国广核（+3.30%）、浙能电力（+3.29%）相当，节奏同步性强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今日暂未检索到中国联通相关的新闻公告、互动问答或行业资讯（各信息源均未返回有效数据）。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提示</w:t>
      </w:r>
      <w:r>
        <w:rPr>
          <w:rFonts w:ascii="Microsoft YaHei" w:hAnsi="Microsoft YaHei"/>
        </w:rPr>
        <w:t>：信息真空期下，股价驱动因素主要来自市场整体氛围、板块联动及技术面修复逻辑。建议持续关注午后是否有突发公告或行业政策动态。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盘面强势，量价齐升</w:t>
      </w:r>
      <w:r>
        <w:rPr>
          <w:rFonts w:ascii="Microsoft YaHei" w:hAnsi="Microsoft YaHei"/>
        </w:rPr>
        <w:t xml:space="preserve">：中国联通今日高开高走，收盘涨幅 </w:t>
      </w:r>
      <w:r>
        <w:rPr>
          <w:rFonts w:ascii="Microsoft YaHei" w:hAnsi="Microsoft YaHei"/>
          <w:b/>
          <w:color w:val="1A1A1A"/>
        </w:rPr>
        <w:t>+3.29%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1.86</w:t>
      </w:r>
      <w:r>
        <w:rPr>
          <w:rFonts w:ascii="Microsoft YaHei" w:hAnsi="Microsoft YaHei"/>
        </w:rPr>
        <w:t xml:space="preserve">，换手率较上一交易日放大 </w:t>
      </w:r>
      <w:r>
        <w:rPr>
          <w:rFonts w:ascii="Microsoft YaHei" w:hAnsi="Microsoft YaHei"/>
          <w:b/>
          <w:color w:val="1A1A1A"/>
        </w:rPr>
        <w:t>1.67 倍</w:t>
      </w:r>
      <w:r>
        <w:rPr>
          <w:rFonts w:ascii="Microsoft YaHei" w:hAnsi="Microsoft YaHei"/>
        </w:rPr>
        <w:t>，量价配合良好，交投显著回暖。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资金面偏多格局明确</w:t>
      </w:r>
      <w:r>
        <w:rPr>
          <w:rFonts w:ascii="Microsoft YaHei" w:hAnsi="Microsoft YaHei"/>
        </w:rPr>
        <w:t xml:space="preserve">：盘中净流入 </w:t>
      </w:r>
      <w:r>
        <w:rPr>
          <w:rFonts w:ascii="Microsoft YaHei" w:hAnsi="Microsoft YaHei"/>
          <w:b/>
          <w:color w:val="1A1A1A"/>
        </w:rPr>
        <w:t>+2,090.89 万元</w:t>
      </w:r>
      <w:r>
        <w:rPr>
          <w:rFonts w:ascii="Microsoft YaHei" w:hAnsi="Microsoft YaHei"/>
        </w:rPr>
        <w:t>，大单与散户资金共同推动；上一个交易日即呈现全口径净流入，资金入场具有持续性。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技术面中期修复趋势确立</w:t>
      </w:r>
      <w:r>
        <w:rPr>
          <w:rFonts w:ascii="Microsoft YaHei" w:hAnsi="Microsoft YaHei"/>
        </w:rPr>
        <w:t xml:space="preserve">：当前价站稳 MA10 和 MA20，距 MA5 仅一步之遥。若午后能突破 </w:t>
      </w:r>
      <w:r>
        <w:rPr>
          <w:rFonts w:ascii="Microsoft YaHei" w:hAnsi="Microsoft YaHei"/>
          <w:b/>
          <w:color w:val="1A1A1A"/>
        </w:rPr>
        <w:t>4.42 元（MA5）</w:t>
      </w:r>
      <w:r>
        <w:rPr>
          <w:rFonts w:ascii="Microsoft YaHei" w:hAnsi="Microsoft YaHei"/>
        </w:rPr>
        <w:t xml:space="preserve">并向布林上轨（4.49）发起挑战，则短期上升空间有望进一步打开。支撑区间在 </w:t>
      </w:r>
      <w:r>
        <w:rPr>
          <w:rFonts w:ascii="Microsoft YaHei" w:hAnsi="Microsoft YaHei"/>
          <w:b/>
          <w:color w:val="1A1A1A"/>
        </w:rPr>
        <w:t>4.32~4.36 元（MA10~均价）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权重行情提供顺风环境</w:t>
      </w:r>
      <w:r>
        <w:rPr>
          <w:rFonts w:ascii="Microsoft YaHei" w:hAnsi="Microsoft YaHei"/>
        </w:rPr>
        <w:t xml:space="preserve">：上证50大涨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，三大运营商同步走强，中国联通涨幅居中，具备跟随大盘蓝筹估值修复的逻辑基础。当前 </w:t>
      </w:r>
      <w:r>
        <w:rPr>
          <w:rFonts w:ascii="Microsoft YaHei" w:hAnsi="Microsoft YaHei"/>
          <w:b/>
          <w:color w:val="1A1A1A"/>
        </w:rPr>
        <w:t>PB 仅 0.81 倍</w:t>
      </w:r>
      <w:r>
        <w:rPr>
          <w:rFonts w:ascii="Microsoft YaHei" w:hAnsi="Microsoft YaHei"/>
        </w:rPr>
        <w:t>，估值修复空间充足。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距布林上轨仅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 空间，短期存在技术性压力</w:t>
      </w:r>
    </w:p>
    <w:p>
      <w:r>
        <w:rPr>
          <w:rFonts w:ascii="Microsoft YaHei" w:hAnsi="Microsoft YaHei"/>
        </w:rPr>
        <w:t xml:space="preserve">   - 电信业务板块整体偏弱（-1.66%），外部资金对通信板块整体偏好不高</w:t>
      </w:r>
    </w:p>
    <w:p>
      <w:r>
        <w:rPr>
          <w:rFonts w:ascii="Microsoft YaHei" w:hAnsi="Microsoft YaHei"/>
        </w:rPr>
        <w:t xml:space="preserve">   - 融资余额小幅下降，杠杆资金态度偏谨慎</w:t>
      </w:r>
    </w:p>
    <w:p>
      <w:r>
        <w:rPr>
          <w:rFonts w:ascii="Microsoft YaHei" w:hAnsi="Microsoft YaHei"/>
          <w:b/>
          <w:color w:val="1A1A1A"/>
        </w:rPr>
        <w:t>综合评级：短期偏多，关注午后能否站稳 MA5（4.42）并挑战布林上轨（4.49），若冲高回落则关注 4.32~4.36 区间的支撑力度。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*免责声明：本报告基于公开数据整理分析，不构成投资建议。股市有风险，投资需谨慎。*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中国联通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