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中国船舶（600150.SH）午间分析报告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全市场情绪偏暖，今日</w:t>
      </w:r>
      <w:r>
        <w:rPr>
          <w:rFonts w:ascii="Microsoft YaHei" w:hAnsi="Microsoft YaHei"/>
          <w:b/>
          <w:color w:val="1A1A1A"/>
        </w:rPr>
        <w:t>上涨3431家 / 下跌2000家</w:t>
      </w:r>
      <w:r>
        <w:rPr>
          <w:rFonts w:ascii="Microsoft YaHei" w:hAnsi="Microsoft YaHei"/>
        </w:rPr>
        <w:t xml:space="preserve">，涨停58只，跌停19只，上涨占比达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。市场热度评分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+1516亿</w:t>
      </w:r>
      <w:r>
        <w:rPr>
          <w:rFonts w:ascii="Microsoft YaHei" w:hAnsi="Microsoft YaHei"/>
        </w:rPr>
        <w:t xml:space="preserve">，量能配合积极。赚钱效应指标为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，说明指数虽强但个股分化仍在。</w:t>
      </w:r>
    </w:p>
    <w:p>
      <w:r>
        <w:rPr>
          <w:rFonts w:ascii="Microsoft YaHei" w:hAnsi="Microsoft YaHei"/>
        </w:rPr>
        <w:t>行业板块方面，船舶、军工、国防等关键词在盘中消息中频繁出现，板块联动效应值得关注。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33.01元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+3.22%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33.16 / 32.10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998,988手</w:t>
            </w:r>
            <w:r>
              <w:rPr>
                <w:rFonts w:ascii="Microsoft YaHei" w:hAnsi="Microsoft YaHei"/>
                <w:sz w:val="18"/>
              </w:rPr>
              <w:t>（约99.9万手）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32.74亿元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1.33%</w:t>
            </w:r>
            <w:r>
              <w:rPr>
                <w:rFonts w:ascii="Microsoft YaHei" w:hAnsi="Microsoft YaHei"/>
                <w:sz w:val="18"/>
              </w:rPr>
              <w:t>（前一交易日为1.13%）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3.31%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12.85倍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2,484.21亿元</w:t>
            </w:r>
          </w:p>
        </w:tc>
      </w:tr>
    </w:tbl>
    <w:p/>
    <w:p>
      <w:r>
        <w:rPr>
          <w:rFonts w:ascii="Microsoft YaHei" w:hAnsi="Microsoft YaHei"/>
        </w:rPr>
        <w:t xml:space="preserve">今日股票名称显示为 </w:t>
      </w:r>
      <w:r>
        <w:rPr>
          <w:rFonts w:ascii="Microsoft YaHei" w:hAnsi="Microsoft YaHei"/>
          <w:b/>
          <w:color w:val="1A1A1A"/>
        </w:rPr>
        <w:t>"XD中国船"</w:t>
      </w:r>
      <w:r>
        <w:rPr>
          <w:rFonts w:ascii="Microsoft YaHei" w:hAnsi="Microsoft YaHei"/>
        </w:rPr>
        <w:t xml:space="preserve">，表明为除息日，股价基准已做除权处理。当日以 </w:t>
      </w:r>
      <w:r>
        <w:rPr>
          <w:rFonts w:ascii="Microsoft YaHei" w:hAnsi="Microsoft YaHei"/>
          <w:b/>
          <w:color w:val="1A1A1A"/>
        </w:rPr>
        <w:t>32.28元</w:t>
      </w:r>
      <w:r>
        <w:rPr>
          <w:rFonts w:ascii="Microsoft YaHei" w:hAnsi="Microsoft YaHei"/>
        </w:rPr>
        <w:t xml:space="preserve"> 高开，早盘迅速冲高至 </w:t>
      </w:r>
      <w:r>
        <w:rPr>
          <w:rFonts w:ascii="Microsoft YaHei" w:hAnsi="Microsoft YaHei"/>
          <w:b/>
          <w:color w:val="1A1A1A"/>
        </w:rPr>
        <w:t>33.16元</w:t>
      </w:r>
      <w:r>
        <w:rPr>
          <w:rFonts w:ascii="Microsoft YaHei" w:hAnsi="Microsoft YaHei"/>
        </w:rPr>
        <w:t xml:space="preserve"> 后小幅回落，午间收于 </w:t>
      </w:r>
      <w:r>
        <w:rPr>
          <w:rFonts w:ascii="Microsoft YaHei" w:hAnsi="Microsoft YaHei"/>
          <w:b/>
          <w:color w:val="1A1A1A"/>
        </w:rPr>
        <w:t>33.01元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+3.22%</w:t>
      </w:r>
      <w:r>
        <w:rPr>
          <w:rFonts w:ascii="Microsoft YaHei" w:hAnsi="Microsoft YaHei"/>
        </w:rPr>
        <w:t xml:space="preserve">。盘中于09:25出现 </w:t>
      </w:r>
      <w:r>
        <w:rPr>
          <w:rFonts w:ascii="Microsoft YaHei" w:hAnsi="Microsoft YaHei"/>
          <w:b/>
          <w:color w:val="1A1A1A"/>
        </w:rPr>
        <w:t>60日大幅上涨</w:t>
      </w:r>
      <w:r>
        <w:rPr>
          <w:rFonts w:ascii="Microsoft YaHei" w:hAnsi="Microsoft YaHei"/>
        </w:rPr>
        <w:t xml:space="preserve"> 异动信号（开盘涨幅+1.22%），显示主力做多意愿明确。</w:t>
      </w:r>
    </w:p>
    <w:p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556,443手</w:t>
      </w:r>
      <w:r>
        <w:rPr>
          <w:rFonts w:ascii="Microsoft YaHei" w:hAnsi="Microsoft YaHei"/>
        </w:rPr>
        <w:t xml:space="preserve"> 显著大于内盘 </w:t>
      </w:r>
      <w:r>
        <w:rPr>
          <w:rFonts w:ascii="Microsoft YaHei" w:hAnsi="Microsoft YaHei"/>
          <w:b/>
          <w:color w:val="1A1A1A"/>
        </w:rPr>
        <w:t>442,545手</w:t>
      </w:r>
      <w:r>
        <w:rPr>
          <w:rFonts w:ascii="Microsoft YaHei" w:hAnsi="Microsoft YaHei"/>
        </w:rPr>
        <w:t>，买盘主动性较强，买方主导格局清晰。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净流入8.29亿元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1.83亿元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0.28亿元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净流入8.29亿元</w:t>
      </w:r>
      <w:r>
        <w:rPr>
          <w:rFonts w:ascii="Microsoft YaHei" w:hAnsi="Microsoft YaHei"/>
        </w:rPr>
        <w:t xml:space="preserve"> 且资金流入分钟数（71分钟）远多于流出分钟数（49分钟），说明今日资金入场意愿强烈且持续性强。最大单分钟流入 </w:t>
      </w:r>
      <w:r>
        <w:rPr>
          <w:rFonts w:ascii="Microsoft YaHei" w:hAnsi="Microsoft YaHei"/>
          <w:b/>
          <w:color w:val="1A1A1A"/>
        </w:rPr>
        <w:t>1.83亿</w:t>
      </w:r>
      <w:r>
        <w:rPr>
          <w:rFonts w:ascii="Microsoft YaHei" w:hAnsi="Microsoft YaHei"/>
        </w:rPr>
        <w:t xml:space="preserve"> 与最大单分钟流出仅 </w:t>
      </w:r>
      <w:r>
        <w:rPr>
          <w:rFonts w:ascii="Microsoft YaHei" w:hAnsi="Microsoft YaHei"/>
          <w:b/>
          <w:color w:val="1A1A1A"/>
        </w:rPr>
        <w:t>0.28亿</w:t>
      </w:r>
      <w:r>
        <w:rPr>
          <w:rFonts w:ascii="Microsoft YaHei" w:hAnsi="Microsoft YaHei"/>
        </w:rPr>
        <w:t xml:space="preserve"> 形成鲜明对比，主力吸筹迹象明显。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上一个交易日（日终）资金细分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+6.22亿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6.79亿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0.56亿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+2.30亿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9.85亿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7.55亿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-0.23亿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2.81亿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3.04亿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+8.29亿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大单净流入6.22亿</w:t>
      </w:r>
      <w:r>
        <w:rPr>
          <w:rFonts w:ascii="Microsoft YaHei" w:hAnsi="Microsoft YaHei"/>
        </w:rPr>
        <w:t xml:space="preserve">，中单净流入2.30亿，小单净流出0.23亿，呈现出典型的 </w:t>
      </w:r>
      <w:r>
        <w:rPr>
          <w:rFonts w:ascii="Microsoft YaHei" w:hAnsi="Microsoft YaHei"/>
          <w:b/>
          <w:color w:val="1A1A1A"/>
        </w:rPr>
        <w:t>"大资金吸筹、散户流出"</w:t>
      </w:r>
      <w:r>
        <w:rPr>
          <w:rFonts w:ascii="Microsoft YaHei" w:hAnsi="Microsoft YaHei"/>
        </w:rPr>
        <w:t xml:space="preserve"> 结构，判断主力资金已连续两个交易日大举入场。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69.81亿元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-0.84%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0.16亿元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+13.55%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融资余额小幅回落，但今日资金面已转为强势净流入，说明融资盘减持压力已被增量资金覆盖。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33.01元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37.40元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31.24元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布林带中轨（推算）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34.32元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>当前价33.01元位于布林带中轨（约34.32元）</w:t>
      </w:r>
      <w:r>
        <w:rPr>
          <w:rFonts w:ascii="Microsoft YaHei" w:hAnsi="Microsoft YaHei"/>
          <w:b/>
          <w:color w:val="1A1A1A"/>
        </w:rPr>
        <w:t>下方</w:t>
      </w:r>
      <w:r>
        <w:rPr>
          <w:rFonts w:ascii="Microsoft YaHei" w:hAnsi="Microsoft YaHei"/>
        </w:rPr>
        <w:t xml:space="preserve">，距中轨尚有约 </w:t>
      </w:r>
      <w:r>
        <w:rPr>
          <w:rFonts w:ascii="Microsoft YaHei" w:hAnsi="Microsoft YaHei"/>
          <w:b/>
          <w:color w:val="1A1A1A"/>
        </w:rPr>
        <w:t>3.8%</w:t>
      </w:r>
      <w:r>
        <w:rPr>
          <w:rFonts w:ascii="Microsoft YaHei" w:hAnsi="Microsoft YaHei"/>
        </w:rPr>
        <w:t xml:space="preserve"> 的修复空间</w:t>
      </w:r>
    </w:p>
    <w:p>
      <w:pPr>
        <w:pStyle w:val="ListBullet"/>
      </w:pPr>
      <w:r>
        <w:rPr>
          <w:rFonts w:ascii="Microsoft YaHei" w:hAnsi="Microsoft YaHei"/>
        </w:rPr>
        <w:t xml:space="preserve">盘中最高 </w:t>
      </w:r>
      <w:r>
        <w:rPr>
          <w:rFonts w:ascii="Microsoft YaHei" w:hAnsi="Microsoft YaHei"/>
          <w:b/>
          <w:color w:val="1A1A1A"/>
        </w:rPr>
        <w:t>33.16元</w:t>
      </w:r>
      <w:r>
        <w:rPr>
          <w:rFonts w:ascii="Microsoft YaHei" w:hAnsi="Microsoft YaHei"/>
        </w:rPr>
        <w:t xml:space="preserve"> 已逼近MA5/MA10均线区域，短期均线压力正在测试中</w:t>
      </w:r>
    </w:p>
    <w:p>
      <w:pPr>
        <w:pStyle w:val="ListBullet"/>
      </w:pPr>
      <w:r>
        <w:rPr>
          <w:rFonts w:ascii="Microsoft YaHei" w:hAnsi="Microsoft YaHei"/>
        </w:rPr>
        <w:t xml:space="preserve">布林带上下轨间距约 </w:t>
      </w:r>
      <w:r>
        <w:rPr>
          <w:rFonts w:ascii="Microsoft YaHei" w:hAnsi="Microsoft YaHei"/>
          <w:b/>
          <w:color w:val="1A1A1A"/>
        </w:rPr>
        <w:t>6.16元</w:t>
      </w:r>
      <w:r>
        <w:rPr>
          <w:rFonts w:ascii="Microsoft YaHei" w:hAnsi="Microsoft YaHei"/>
        </w:rPr>
        <w:t>（约19.7%），带宽适中，尚未出现极端扩张或收窄信号</w:t>
      </w:r>
    </w:p>
    <w:p>
      <w:pPr>
        <w:pStyle w:val="ListBullet"/>
      </w:pPr>
      <w:r>
        <w:rPr>
          <w:rFonts w:ascii="Microsoft YaHei" w:hAnsi="Microsoft YaHei"/>
        </w:rPr>
        <w:t xml:space="preserve">今日 </w:t>
      </w:r>
      <w:r>
        <w:rPr>
          <w:rFonts w:ascii="Microsoft YaHei" w:hAnsi="Microsoft YaHei"/>
          <w:b/>
          <w:color w:val="1A1A1A"/>
        </w:rPr>
        <w:t>+3.22%</w:t>
      </w:r>
      <w:r>
        <w:rPr>
          <w:rFonts w:ascii="Microsoft YaHei" w:hAnsi="Microsoft YaHei"/>
        </w:rPr>
        <w:t xml:space="preserve"> 的涨幅配合放量，有挑战中轨 </w:t>
      </w:r>
      <w:r>
        <w:rPr>
          <w:rFonts w:ascii="Microsoft YaHei" w:hAnsi="Microsoft YaHei"/>
          <w:b/>
          <w:color w:val="1A1A1A"/>
        </w:rPr>
        <w:t>34.32元</w:t>
      </w:r>
      <w:r>
        <w:rPr>
          <w:rFonts w:ascii="Microsoft YaHei" w:hAnsi="Microsoft YaHei"/>
        </w:rPr>
        <w:t xml:space="preserve"> 的动能基础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盘口速览</w:t>
      </w:r>
    </w:p>
    <w:p>
      <w:pPr>
        <w:pStyle w:val="ListBullet"/>
      </w:pPr>
      <w:r>
        <w:rPr>
          <w:rFonts w:ascii="Microsoft YaHei" w:hAnsi="Microsoft YaHei"/>
        </w:rPr>
        <w:t>买一价：33.00元 | 卖一价：33.01元（价差仅1分钱，流动性极佳）</w:t>
      </w:r>
    </w:p>
    <w:p>
      <w:pPr>
        <w:pStyle w:val="ListBullet"/>
      </w:pPr>
      <w:r>
        <w:rPr>
          <w:rFonts w:ascii="Microsoft YaHei" w:hAnsi="Microsoft YaHei"/>
        </w:rPr>
        <w:t>涨停价：35.18元（+10%） | 跌停价：28.78元（-10%）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 xml:space="preserve">今日盘中关联新闻聚焦于 </w:t>
      </w:r>
      <w:r>
        <w:rPr>
          <w:rFonts w:ascii="Microsoft YaHei" w:hAnsi="Microsoft YaHei"/>
          <w:b/>
          <w:color w:val="1A1A1A"/>
        </w:rPr>
        <w:t>伊朗与霍尔木兹海峡局势</w:t>
      </w:r>
      <w:r>
        <w:rPr>
          <w:rFonts w:ascii="Microsoft YaHei" w:hAnsi="Microsoft YaHei"/>
        </w:rPr>
        <w:t>，具体要点包括：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伊朗提出霍尔木兹海峡单向航运管理方案</w:t>
      </w:r>
      <w:r>
        <w:rPr>
          <w:rFonts w:ascii="Microsoft YaHei" w:hAnsi="Microsoft YaHei"/>
        </w:rPr>
        <w:t>——由伊朗和阿曼分别管理两侧航运通道，并警告称接受美国使用伊朗资产进行赔偿的国家/地区船只将不被允许通行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沙特防空部队拦截从伊拉克方向发射的无人机</w:t>
      </w:r>
      <w:r>
        <w:rPr>
          <w:rFonts w:ascii="Microsoft YaHei" w:hAnsi="Microsoft YaHei"/>
        </w:rPr>
        <w:t>，目标为东部石油设施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国际原油期货结算价大幅收跌超4%</w:t>
      </w:r>
      <w:r>
        <w:rPr>
          <w:rFonts w:ascii="Microsoft YaHei" w:hAnsi="Microsoft YaHei"/>
        </w:rPr>
        <w:t>，WTI原油跌4.06%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影响分析</w:t>
      </w:r>
    </w:p>
    <w:p>
      <w:r>
        <w:rPr>
          <w:rFonts w:ascii="Microsoft YaHei" w:hAnsi="Microsoft YaHei"/>
        </w:rPr>
        <w:t xml:space="preserve">上述资讯通过 </w:t>
      </w:r>
      <w:r>
        <w:rPr>
          <w:rFonts w:ascii="Microsoft YaHei" w:hAnsi="Microsoft YaHei"/>
          <w:b/>
          <w:color w:val="1A1A1A"/>
        </w:rPr>
        <w:t>"航运、国防"</w:t>
      </w:r>
      <w:r>
        <w:rPr>
          <w:rFonts w:ascii="Microsoft YaHei" w:hAnsi="Microsoft YaHei"/>
        </w:rPr>
        <w:t xml:space="preserve"> 两个关键词与中国船舶形成关联：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正面效应</w:t>
      </w:r>
      <w:r>
        <w:rPr>
          <w:rFonts w:ascii="Microsoft YaHei" w:hAnsi="Microsoft YaHei"/>
        </w:rPr>
        <w:t xml:space="preserve">：霍尔木兹海峡局势紧张直接提振 </w:t>
      </w:r>
      <w:r>
        <w:rPr>
          <w:rFonts w:ascii="Microsoft YaHei" w:hAnsi="Microsoft YaHei"/>
          <w:b/>
          <w:color w:val="1A1A1A"/>
        </w:rPr>
        <w:t>航运安全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海军装备</w:t>
      </w:r>
      <w:r>
        <w:rPr>
          <w:rFonts w:ascii="Microsoft YaHei" w:hAnsi="Microsoft YaHei"/>
        </w:rPr>
        <w:t xml:space="preserve"> 需求预期，作为国内军用舰船及民用船舶龙头，中国船舶具备地缘政治催化逻辑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关联传导</w:t>
      </w:r>
      <w:r>
        <w:rPr>
          <w:rFonts w:ascii="Microsoft YaHei" w:hAnsi="Microsoft YaHei"/>
        </w:rPr>
        <w:t>：中东局势→航运路线安全担忧→船舶国防订单预期→板块情绪升温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原油下跌</w:t>
      </w:r>
      <w:r>
        <w:rPr>
          <w:rFonts w:ascii="Microsoft YaHei" w:hAnsi="Microsoft YaHei"/>
        </w:rPr>
        <w:t>：油价大幅回落有利于降低船东运营成本，中长期对造船需求构成间接利好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中国船舶涉及的核心行业标签包括：</w:t>
      </w:r>
      <w:r>
        <w:rPr>
          <w:rFonts w:ascii="Microsoft YaHei" w:hAnsi="Microsoft YaHei"/>
          <w:b/>
          <w:color w:val="1A1A1A"/>
        </w:rPr>
        <w:t>军工、船舶、造船、国防、装备制造、航运、航海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今日全市场情绪偏暖的大环境下，国防军工板块往往具有较高的弹性。叠加中东地缘政治消息催化，船舶军工板块有望获得超额资金关注，形成 </w:t>
      </w:r>
      <w:r>
        <w:rPr>
          <w:rFonts w:ascii="Microsoft YaHei" w:hAnsi="Microsoft YaHei"/>
          <w:b/>
          <w:color w:val="1A1A1A"/>
        </w:rPr>
        <w:t>"消息面→情绪面→资金面"</w:t>
      </w:r>
      <w:r>
        <w:rPr>
          <w:rFonts w:ascii="Microsoft YaHei" w:hAnsi="Microsoft YaHei"/>
        </w:rPr>
        <w:t xml:space="preserve"> 的联动正反馈。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全市场热度高，量能配合，利于个股表现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量价表现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涨+3.22%，外盘大于内盘，买盘主动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连续两日大单净流入</w:t>
            </w:r>
            <w:r>
              <w:rPr>
                <w:rFonts w:ascii="Microsoft YaHei" w:hAnsi="Microsoft YaHei"/>
                <w:sz w:val="18"/>
              </w:rPr>
              <w:t>，今日午间净流入8.29亿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技术位置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⏳ 位于布林带中轨下方，距中轨约3.8%空间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消息催化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中东局势+霍尔木兹海峡+国防军工共振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动态PE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12.85倍</w:t>
            </w:r>
            <w:r>
              <w:rPr>
                <w:rFonts w:ascii="Microsoft YaHei" w:hAnsi="Microsoft YaHei"/>
                <w:sz w:val="18"/>
              </w:rPr>
              <w:t xml:space="preserve">，PB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1.69倍</w:t>
            </w:r>
            <w:r>
              <w:rPr>
                <w:rFonts w:ascii="Microsoft YaHei" w:hAnsi="Microsoft YaHei"/>
                <w:sz w:val="18"/>
              </w:rPr>
              <w:t>，处于历史中低位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 xml:space="preserve">：中国船舶今日呈现 </w:t>
      </w:r>
      <w:r>
        <w:rPr>
          <w:rFonts w:ascii="Microsoft YaHei" w:hAnsi="Microsoft YaHei"/>
          <w:b/>
          <w:color w:val="1A1A1A"/>
        </w:rPr>
        <w:t>放量上攻、资金大幅净流入</w:t>
      </w:r>
      <w:r>
        <w:rPr>
          <w:rFonts w:ascii="Microsoft YaHei" w:hAnsi="Microsoft YaHei"/>
        </w:rPr>
        <w:t xml:space="preserve"> 的强势格局。除息日当日走出 </w:t>
      </w:r>
      <w:r>
        <w:rPr>
          <w:rFonts w:ascii="Microsoft YaHei" w:hAnsi="Microsoft YaHei"/>
          <w:b/>
          <w:color w:val="1A1A1A"/>
        </w:rPr>
        <w:t>+3.22%</w:t>
      </w:r>
      <w:r>
        <w:rPr>
          <w:rFonts w:ascii="Microsoft YaHei" w:hAnsi="Microsoft YaHei"/>
        </w:rPr>
        <w:t xml:space="preserve"> 的涨幅，叠加中东地缘政治事件对航运安全及国防装备需求的催化，短期多头动能充沛。大单连续两日净买入、小单持续流出，主力控盘节奏稳健。技术面上方中轨（34.32元）为短期压力位，若能放量突破，有望打开进一步上行空间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：以上分析基于公开数据，不构成投资建议。航运与军工板块受地缘政治变化影响较大，投资者需关注局势演变及市场情绪波动风险。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中国船舶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