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奇安信（688561.SH）午间分析报告</w:t>
      </w:r>
    </w:p>
    <w:p>
      <w:r>
        <w:rPr>
          <w:rFonts w:ascii="Microsoft YaHei" w:hAnsi="Microsoft YaHei"/>
          <w:b/>
          <w:color w:val="1A1A1A"/>
        </w:rPr>
        <w:t>报告时间：</w:t>
      </w:r>
      <w:r>
        <w:rPr>
          <w:rFonts w:ascii="Microsoft YaHei" w:hAnsi="Microsoft YaHei"/>
        </w:rPr>
        <w:t xml:space="preserve"> 2026年7月29日 11:30 | </w:t>
      </w:r>
      <w:r>
        <w:rPr>
          <w:rFonts w:ascii="Microsoft YaHei" w:hAnsi="Microsoft YaHei"/>
          <w:b/>
          <w:color w:val="1A1A1A"/>
        </w:rPr>
        <w:t>分析师：</w:t>
      </w:r>
      <w:r>
        <w:rPr>
          <w:rFonts w:ascii="Microsoft YaHei" w:hAnsi="Microsoft YaHei"/>
        </w:rPr>
        <w:t xml:space="preserve"> A股市场分析师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今日全市场情绪高涨，热度指数达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+2960亿元</w:t>
      </w:r>
      <w:r>
        <w:rPr>
          <w:rFonts w:ascii="Microsoft YaHei" w:hAnsi="Microsoft YaHei"/>
        </w:rPr>
        <w:t xml:space="preserve">。上涨个股 </w:t>
      </w:r>
      <w:r>
        <w:rPr>
          <w:rFonts w:ascii="Microsoft YaHei" w:hAnsi="Microsoft YaHei"/>
          <w:b/>
          <w:color w:val="1A1A1A"/>
        </w:rPr>
        <w:t>4,090家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1,377家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。整体市场呈现普涨格局，题材与权重均有表现。</w:t>
      </w:r>
    </w:p>
    <w:p>
      <w:r>
        <w:rPr>
          <w:rFonts w:ascii="Microsoft YaHei" w:hAnsi="Microsoft YaHei"/>
        </w:rPr>
        <w:t>然而，</w:t>
      </w:r>
      <w:r>
        <w:rPr>
          <w:rFonts w:ascii="Microsoft YaHei" w:hAnsi="Microsoft YaHei"/>
          <w:b/>
          <w:color w:val="1A1A1A"/>
        </w:rPr>
        <w:t>奇安信</w:t>
      </w:r>
      <w:r>
        <w:rPr>
          <w:rFonts w:ascii="Microsoft YaHei" w:hAnsi="Microsoft YaHei"/>
        </w:rPr>
        <w:t>今日走势明显弱于大盘，在普涨环境中逆势收跌，形成个股与大盘的明显背离。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25.23元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25.41元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25.41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25.90</w:t>
            </w:r>
            <w:r>
              <w:rPr>
                <w:rFonts w:ascii="Microsoft YaHei" w:hAnsi="Microsoft YaHei"/>
                <w:sz w:val="18"/>
              </w:rPr>
              <w:t xml:space="preserve"> / 24.48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5.59%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1,097万手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 2.76亿元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昨日至1.30%，略有放大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成交量基本持平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25.18元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172.13亿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172.13亿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-11.09</w:t>
            </w:r>
            <w:r>
              <w:rPr>
                <w:rFonts w:ascii="Microsoft YaHei" w:hAnsi="Microsoft YaHei"/>
                <w:sz w:val="18"/>
              </w:rPr>
              <w:t>（亏损）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 2.44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分时回顾：</w:t>
      </w:r>
      <w:r>
        <w:rPr>
          <w:rFonts w:ascii="Microsoft YaHei" w:hAnsi="Microsoft YaHei"/>
        </w:rPr>
        <w:t xml:space="preserve"> 个股平开于25.41元后，早盘快速拉升，09:30触发</w:t>
      </w:r>
      <w:r>
        <w:rPr>
          <w:rFonts w:ascii="Microsoft YaHei" w:hAnsi="Microsoft YaHei"/>
          <w:b/>
          <w:color w:val="1A1A1A"/>
        </w:rPr>
        <w:t>火箭发射</w:t>
      </w:r>
      <w:r>
        <w:rPr>
          <w:rFonts w:ascii="Microsoft YaHei" w:hAnsi="Microsoft YaHei"/>
        </w:rPr>
        <w:t xml:space="preserve">信号，一度冲高至 </w:t>
      </w:r>
      <w:r>
        <w:rPr>
          <w:rFonts w:ascii="Microsoft YaHei" w:hAnsi="Microsoft YaHei"/>
          <w:b/>
          <w:color w:val="1A1A1A"/>
        </w:rPr>
        <w:t>25.90元（+3.24%）</w:t>
      </w:r>
      <w:r>
        <w:rPr>
          <w:rFonts w:ascii="Microsoft YaHei" w:hAnsi="Microsoft YaHei"/>
        </w:rPr>
        <w:t xml:space="preserve">，随后震荡回落，盘中最低探至 </w:t>
      </w:r>
      <w:r>
        <w:rPr>
          <w:rFonts w:ascii="Microsoft YaHei" w:hAnsi="Microsoft YaHei"/>
          <w:b/>
          <w:color w:val="1A1A1A"/>
        </w:rPr>
        <w:t>24.48元（-3.66%）</w:t>
      </w:r>
      <w:r>
        <w:rPr>
          <w:rFonts w:ascii="Microsoft YaHei" w:hAnsi="Microsoft YaHei"/>
        </w:rPr>
        <w:t>，最终收于25.23元，</w:t>
      </w:r>
      <w:r>
        <w:rPr>
          <w:rFonts w:ascii="Microsoft YaHei" w:hAnsi="Microsoft YaHei"/>
          <w:b/>
          <w:color w:val="1A1A1A"/>
        </w:rPr>
        <w:t>跌幅0.71%</w:t>
      </w:r>
      <w:r>
        <w:rPr>
          <w:rFonts w:ascii="Microsoft YaHei" w:hAnsi="Microsoft YaHei"/>
        </w:rPr>
        <w:t xml:space="preserve">。全天振幅达 </w:t>
      </w:r>
      <w:r>
        <w:rPr>
          <w:rFonts w:ascii="Microsoft YaHei" w:hAnsi="Microsoft YaHei"/>
          <w:b/>
          <w:color w:val="1A1A1A"/>
        </w:rPr>
        <w:t>5.59%</w:t>
      </w:r>
      <w:r>
        <w:rPr>
          <w:rFonts w:ascii="Microsoft YaHei" w:hAnsi="Microsoft YaHei"/>
        </w:rPr>
        <w:t>，波动剧烈。</w:t>
      </w:r>
    </w:p>
    <w:p>
      <w:r>
        <w:rPr>
          <w:rFonts w:ascii="Microsoft YaHei" w:hAnsi="Microsoft YaHei"/>
          <w:b/>
          <w:color w:val="1A1A1A"/>
        </w:rPr>
        <w:t>买卖力量：</w:t>
      </w:r>
      <w:r>
        <w:rPr>
          <w:rFonts w:ascii="Microsoft YaHei" w:hAnsi="Microsoft YaHei"/>
        </w:rPr>
        <w:t xml:space="preserve"> 外盘 </w:t>
      </w:r>
      <w:r>
        <w:rPr>
          <w:rFonts w:ascii="Microsoft YaHei" w:hAnsi="Microsoft YaHei"/>
          <w:b/>
          <w:color w:val="1A1A1A"/>
        </w:rPr>
        <w:t>534.8万手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562.5万手</w:t>
      </w:r>
      <w:r>
        <w:rPr>
          <w:rFonts w:ascii="Microsoft YaHei" w:hAnsi="Microsoft YaHei"/>
        </w:rPr>
        <w:t xml:space="preserve">，内盘占比约 </w:t>
      </w:r>
      <w:r>
        <w:rPr>
          <w:rFonts w:ascii="Microsoft YaHei" w:hAnsi="Microsoft YaHei"/>
          <w:b/>
          <w:color w:val="1A1A1A"/>
        </w:rPr>
        <w:t>51.3%</w:t>
      </w:r>
      <w:r>
        <w:rPr>
          <w:rFonts w:ascii="Microsoft YaHei" w:hAnsi="Microsoft YaHei"/>
        </w:rPr>
        <w:t>，卖方力量略占优势，与冲高回落走势相匹配。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+1,768.76万元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118分钟（占比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56.7%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88分钟（占比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43.3%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335.7万元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235.6万元</w:t>
            </w:r>
          </w:p>
        </w:tc>
      </w:tr>
    </w:tbl>
    <w:p/>
    <w:p>
      <w:r>
        <w:rPr>
          <w:rFonts w:ascii="Microsoft YaHei" w:hAnsi="Microsoft YaHei"/>
        </w:rPr>
        <w:t>尽管股价下跌，但资金面上显示为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>状态，且流入时间占比超过一半，说明今日盘中回调过程中仍有资金在低位承接。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+305.4万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1,266万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961万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+393.7万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6,100万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5,707万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+1,076.1万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3,103万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2,027万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+1,775.3万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机构资金（大单+中单）合计净流入约 </w:t>
      </w:r>
      <w:r>
        <w:rPr>
          <w:rFonts w:ascii="Microsoft YaHei" w:hAnsi="Microsoft YaHei"/>
          <w:b/>
          <w:color w:val="1A1A1A"/>
        </w:rPr>
        <w:t>+699万元</w:t>
      </w:r>
      <w:r>
        <w:rPr>
          <w:rFonts w:ascii="Microsoft YaHei" w:hAnsi="Microsoft YaHei"/>
        </w:rPr>
        <w:t>，且大单、中单、小单全线净流入，资金结构健康。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-1.69%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-1.29%</w:t>
            </w:r>
          </w:p>
        </w:tc>
      </w:tr>
    </w:tbl>
    <w:p/>
    <w:p>
      <w:r>
        <w:rPr>
          <w:rFonts w:ascii="Microsoft YaHei" w:hAnsi="Microsoft YaHei"/>
        </w:rPr>
        <w:t>融资余额小幅下降，杠杆资金有所离场；融券余额亦同步减少，做空力量有限。两融整体水平平稳。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25.23元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26.68元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22.76元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布林带中轨（估算）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~24.72元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距上轨空间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距下轨支撑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+10.9%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25.23元</w:t>
      </w:r>
      <w:r>
        <w:rPr>
          <w:rFonts w:ascii="Microsoft YaHei" w:hAnsi="Microsoft YaHei"/>
        </w:rPr>
        <w:t xml:space="preserve"> 位于布林带中轨（约24.72元）与上轨（26.68元）之间，处于</w:t>
      </w:r>
      <w:r>
        <w:rPr>
          <w:rFonts w:ascii="Microsoft YaHei" w:hAnsi="Microsoft YaHei"/>
          <w:b/>
          <w:color w:val="1A1A1A"/>
        </w:rPr>
        <w:t>偏强势区域</w:t>
      </w:r>
      <w:r>
        <w:rPr>
          <w:rFonts w:ascii="Microsoft YaHei" w:hAnsi="Microsoft YaHei"/>
        </w:rPr>
        <w:t xml:space="preserve">。今日盘中最低探至24.48元，恰好触及中轨附近获得支撑后回升，显示中轨附近存在一定买盘承接。距离上轨尚有 </w:t>
      </w:r>
      <w:r>
        <w:rPr>
          <w:rFonts w:ascii="Microsoft YaHei" w:hAnsi="Microsoft YaHei"/>
          <w:b/>
          <w:color w:val="1A1A1A"/>
        </w:rPr>
        <w:t>5.7%</w:t>
      </w:r>
      <w:r>
        <w:rPr>
          <w:rFonts w:ascii="Microsoft YaHei" w:hAnsi="Microsoft YaHei"/>
        </w:rPr>
        <w:t xml:space="preserve"> 的反弹空间。</w:t>
      </w:r>
    </w:p>
    <w:p>
      <w:r>
        <w:rPr>
          <w:rFonts w:ascii="Microsoft YaHei" w:hAnsi="Microsoft YaHei"/>
          <w:b/>
          <w:color w:val="1A1A1A"/>
        </w:rPr>
        <w:t>关键研判：</w:t>
      </w:r>
      <w:r>
        <w:rPr>
          <w:rFonts w:ascii="Microsoft YaHei" w:hAnsi="Microsoft YaHei"/>
        </w:rPr>
        <w:t xml:space="preserve"> 早盘冲高回落形成了较长上影线，上方26元关口（今日最高25.90元附近）压力明显；下方24.48元（今日最低）可视为短期支撑。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今日无直接相关的公司公告或互动问答，相关资讯主要为隔夜全球要闻，通过关键词（软件、国防）间接关联：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中东局势持续紧张</w:t>
      </w:r>
      <w:r>
        <w:rPr>
          <w:rFonts w:ascii="Microsoft YaHei" w:hAnsi="Microsoft YaHei"/>
        </w:rPr>
        <w:t>（7月29日）：伊朗否认请求与美国谈判，提出霍尔木兹海峡单向通行方案。特朗普分别与泽连斯基、内塔尼亚胡会晤。奇安信作为</w:t>
      </w:r>
      <w:r>
        <w:rPr>
          <w:rFonts w:ascii="Microsoft YaHei" w:hAnsi="Microsoft YaHei"/>
          <w:b/>
          <w:color w:val="1A1A1A"/>
        </w:rPr>
        <w:t>网络安全与国防信息化</w:t>
      </w:r>
      <w:r>
        <w:rPr>
          <w:rFonts w:ascii="Microsoft YaHei" w:hAnsi="Microsoft YaHei"/>
        </w:rPr>
        <w:t>领域标的，地缘局势升温对板块情绪有一定映射作用。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美股科技股承压</w:t>
      </w:r>
      <w:r>
        <w:rPr>
          <w:rFonts w:ascii="Microsoft YaHei" w:hAnsi="Microsoft YaHei"/>
        </w:rPr>
        <w:t>（7月28-29日）：费城半导体指数两日累计跌超6%，存储、光通信板块大跌（铠侠ADR、闪迪跌逾14%），英伟达跌约5%。虽然主要冲击在半导体硬件端，但悲观情绪可能对A股科技板块形成</w:t>
      </w:r>
      <w:r>
        <w:rPr>
          <w:rFonts w:ascii="Microsoft YaHei" w:hAnsi="Microsoft YaHei"/>
          <w:b/>
          <w:color w:val="1A1A1A"/>
        </w:rPr>
        <w:t>情绪传导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国际油价大跌</w:t>
      </w:r>
      <w:r>
        <w:rPr>
          <w:rFonts w:ascii="Microsoft YaHei" w:hAnsi="Microsoft YaHei"/>
        </w:rPr>
        <w:t>：布伦特原油近两日结算价累计跌超13%，反映全球经济需求担忧，但对国内软件/网安板块直接影响有限。</w:t>
      </w:r>
    </w:p>
    <w:p>
      <w:r>
        <w:rPr>
          <w:rFonts w:ascii="Microsoft YaHei" w:hAnsi="Microsoft YaHei"/>
          <w:b/>
          <w:color w:val="1A1A1A"/>
        </w:rPr>
        <w:t>综合判断：</w:t>
      </w:r>
      <w:r>
        <w:rPr>
          <w:rFonts w:ascii="Microsoft YaHei" w:hAnsi="Microsoft YaHei"/>
        </w:rPr>
        <w:t xml:space="preserve"> 上述新闻对奇安信的直接基本面影响较小，但"国防"关键词的地缘属性可能对短期情绪形成一定支撑，而美股科技股的调整则可能压制板块风险偏好。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奇安信涉及多个行业标签：</w:t>
      </w:r>
      <w:r>
        <w:rPr>
          <w:rFonts w:ascii="Microsoft YaHei" w:hAnsi="Microsoft YaHei"/>
          <w:b/>
          <w:color w:val="1A1A1A"/>
        </w:rPr>
        <w:t>SaaS、军工、国防、基础软件、应用软件、系统软件、系统集成、软件外包</w:t>
      </w:r>
      <w:r>
        <w:rPr>
          <w:rFonts w:ascii="Microsoft YaHei" w:hAnsi="Microsoft YaHei"/>
        </w:rPr>
        <w:t>等。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军工/国防方向：</w:t>
      </w:r>
      <w:r>
        <w:rPr>
          <w:rFonts w:ascii="Microsoft YaHei" w:hAnsi="Microsoft YaHei"/>
        </w:rPr>
        <w:t xml:space="preserve"> 中东局势持续升温，国防信息化主题或受情绪催化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软件/SaaS方向：</w:t>
      </w:r>
      <w:r>
        <w:rPr>
          <w:rFonts w:ascii="Microsoft YaHei" w:hAnsi="Microsoft YaHei"/>
        </w:rPr>
        <w:t xml:space="preserve"> 今日市场普涨格局下，软件板块整体表现平平，个股分化明显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网络安全赛道：</w:t>
      </w:r>
      <w:r>
        <w:rPr>
          <w:rFonts w:ascii="Microsoft YaHei" w:hAnsi="Microsoft YaHei"/>
        </w:rPr>
        <w:t xml:space="preserve"> 作为国内网络安全龙头，经历前期调整后估值处于历史低位区域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解释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背离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市场普涨（涨跌比83%），个股逆势下跌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盘面走势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冲高回落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早盘火箭发射后震荡下行翻绿，振幅5.59%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今日净流入+1,768万，大中单连续两日净流入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中轨之上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布林带中轨获支撑，距上轨仍有空间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杠杆资金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⚖️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融资余额微降-1.69%，去杠杆幅度有限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⚖️ 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地缘情绪有利，科技股压制风险偏好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  <w:r>
        <w:rPr>
          <w:rFonts w:ascii="Microsoft YaHei" w:hAnsi="Microsoft YaHei"/>
        </w:rPr>
        <w:t xml:space="preserve"> 奇安信今日表现弱于大盘，早盘冲高后遭遇抛压回落，短线存在获利回吐压力。但</w:t>
      </w:r>
      <w:r>
        <w:rPr>
          <w:rFonts w:ascii="Microsoft YaHei" w:hAnsi="Microsoft YaHei"/>
          <w:b/>
          <w:color w:val="1A1A1A"/>
        </w:rPr>
        <w:t>资金面呈现积极信号</w:t>
      </w:r>
      <w:r>
        <w:rPr>
          <w:rFonts w:ascii="Microsoft YaHei" w:hAnsi="Microsoft YaHei"/>
        </w:rPr>
        <w:t>——连续两日大中单净流入、今日逆势仍有净流入，显示机构资金在低位布局意愿较强。技术面上，股价站稳布林带中轨，短期调整空间有限。当前</w:t>
      </w:r>
      <w:r>
        <w:rPr>
          <w:rFonts w:ascii="Microsoft YaHei" w:hAnsi="Microsoft YaHei"/>
          <w:b/>
          <w:color w:val="1A1A1A"/>
        </w:rPr>
        <w:t>172亿市值、PB 2.44倍</w:t>
      </w:r>
      <w:r>
        <w:rPr>
          <w:rFonts w:ascii="Microsoft YaHei" w:hAnsi="Microsoft YaHei"/>
        </w:rPr>
        <w:t>的估值水平在网络安全龙头中处于合理偏低区间。后续需关注午后能否收复均价线（25.18元）及5日均线位置，若放量站上25.5元则有望扭转日内颓势。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公司仍处于亏损状态（PE为负），基本面修复节奏存在不确定性；短期资金面与股价走势的分化需持续观察持续性。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*数据来源：盘中实时数据、资金流向监测、技术指标系统 | 投资有风险，入市需谨慎*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奇安信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