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" w:after="240"/>
        <w:pBdr>
          <w:bottom w:val="single" w:sz="4" w:space="1" w:color="D0D7DE"/>
        </w:pBdr>
      </w:pPr>
    </w:p>
    <w:p>
      <w:pPr>
        <w:spacing w:before="480" w:after="80" w:line="288" w:lineRule="auto"/>
        <w:pBdr>
          <w:bottom w:val="single" w:sz="4" w:space="4" w:color="D0D7DE"/>
        </w:pBdr>
      </w:pPr>
      <w:r>
        <w:rPr>
          <w:rFonts w:ascii="Microsoft YaHei" w:hAnsi="Microsoft YaHei"/>
          <w:b/>
          <w:color w:val="1A1A1A"/>
          <w:sz w:val="36"/>
        </w:rPr>
        <w:t>宁波港（601018.SH）午间分析报告</w:t>
      </w:r>
    </w:p>
    <w:p>
      <w:r>
        <w:rPr>
          <w:rFonts w:ascii="Microsoft YaHei" w:hAnsi="Microsoft YaHei"/>
        </w:rPr>
        <w:t>&gt; 报告时间：2026年7月29日 11:30 | 数据截止午间收盘</w:t>
      </w:r>
    </w:p>
    <w:p>
      <w:pPr>
        <w:spacing w:before="240" w:after="240"/>
        <w:pBdr>
          <w:bottom w:val="single" w:sz="4" w:space="1" w:color="D0D7DE"/>
        </w:pBdr>
      </w:pPr>
    </w:p>
    <w:p>
      <w:pPr>
        <w:spacing w:before="360" w:after="80" w:line="288" w:lineRule="auto"/>
        <w:pBdr>
          <w:bottom w:val="single" w:sz="4" w:space="4" w:color="D0D7DE"/>
        </w:pBdr>
      </w:pPr>
      <w:r>
        <w:rPr>
          <w:rFonts w:ascii="Microsoft YaHei" w:hAnsi="Microsoft YaHei"/>
          <w:b/>
          <w:color w:val="1A1A1A"/>
          <w:sz w:val="28"/>
        </w:rPr>
        <w:t>市场概况</w:t>
      </w:r>
    </w:p>
    <w:p>
      <w:r>
        <w:rPr>
          <w:rFonts w:ascii="Microsoft YaHei" w:hAnsi="Microsoft YaHei"/>
        </w:rPr>
        <w:t xml:space="preserve">全市场早盘情绪高涨，上证指数等主要指数强势上攻。全市场上涨占比达 </w:t>
      </w:r>
      <w:r>
        <w:rPr>
          <w:rFonts w:ascii="Microsoft YaHei" w:hAnsi="Microsoft YaHei"/>
          <w:b/>
          <w:color w:val="1A1A1A"/>
        </w:rPr>
        <w:t>83%</w:t>
      </w:r>
      <w:r>
        <w:rPr>
          <w:rFonts w:ascii="Microsoft YaHei" w:hAnsi="Microsoft YaHei"/>
        </w:rPr>
        <w:t xml:space="preserve">，赚钱效应为 </w:t>
      </w:r>
      <w:r>
        <w:rPr>
          <w:rFonts w:ascii="Microsoft YaHei" w:hAnsi="Microsoft YaHei"/>
          <w:b/>
          <w:color w:val="1A1A1A"/>
        </w:rPr>
        <w:t>51%</w:t>
      </w:r>
      <w:r>
        <w:rPr>
          <w:rFonts w:ascii="Microsoft YaHei" w:hAnsi="Microsoft YaHei"/>
        </w:rPr>
        <w:t xml:space="preserve">，涨停家数 </w:t>
      </w:r>
      <w:r>
        <w:rPr>
          <w:rFonts w:ascii="Microsoft YaHei" w:hAnsi="Microsoft YaHei"/>
          <w:b/>
          <w:color w:val="1A1A1A"/>
        </w:rPr>
        <w:t>76只</w:t>
      </w:r>
      <w:r>
        <w:rPr>
          <w:rFonts w:ascii="Microsoft YaHei" w:hAnsi="Microsoft YaHei"/>
        </w:rPr>
        <w:t xml:space="preserve">，跌停仅 </w:t>
      </w:r>
      <w:r>
        <w:rPr>
          <w:rFonts w:ascii="Microsoft YaHei" w:hAnsi="Microsoft YaHei"/>
          <w:b/>
          <w:color w:val="1A1A1A"/>
        </w:rPr>
        <w:t>10只</w:t>
      </w:r>
      <w:r>
        <w:rPr>
          <w:rFonts w:ascii="Microsoft YaHei" w:hAnsi="Microsoft YaHei"/>
        </w:rPr>
        <w:t xml:space="preserve">。市场人气评级为 </w:t>
      </w:r>
      <w:r>
        <w:rPr>
          <w:rFonts w:ascii="Microsoft YaHei" w:hAnsi="Microsoft YaHei"/>
          <w:b/>
          <w:color w:val="1A1A1A"/>
        </w:rPr>
        <w:t>高（68）</w:t>
      </w:r>
      <w:r>
        <w:rPr>
          <w:rFonts w:ascii="Microsoft YaHei" w:hAnsi="Microsoft YaHei"/>
        </w:rPr>
        <w:t xml:space="preserve">，成交额较前一交易日放大 </w:t>
      </w:r>
      <w:r>
        <w:rPr>
          <w:rFonts w:ascii="Microsoft YaHei" w:hAnsi="Microsoft YaHei"/>
          <w:b/>
          <w:color w:val="1A1A1A"/>
        </w:rPr>
        <w:t>2960亿元</w:t>
      </w:r>
      <w:r>
        <w:rPr>
          <w:rFonts w:ascii="Microsoft YaHei" w:hAnsi="Microsoft YaHei"/>
        </w:rPr>
        <w:t xml:space="preserve">，总量达 </w:t>
      </w:r>
      <w:r>
        <w:rPr>
          <w:rFonts w:ascii="Microsoft YaHei" w:hAnsi="Microsoft YaHei"/>
          <w:b/>
          <w:color w:val="1A1A1A"/>
        </w:rPr>
        <w:t>2.06万亿</w:t>
      </w:r>
      <w:r>
        <w:rPr>
          <w:rFonts w:ascii="Microsoft YaHei" w:hAnsi="Microsoft YaHei"/>
        </w:rPr>
        <w:t>，增量资金入场迹象明显。</w:t>
      </w:r>
    </w:p>
    <w:p>
      <w:r>
        <w:rPr>
          <w:rFonts w:ascii="Microsoft YaHei" w:hAnsi="Microsoft YaHei"/>
        </w:rPr>
        <w:t>宁波港所属的细分板块表现分化但偏暖：</w:t>
      </w:r>
    </w:p>
    <w:p>
      <w:pPr>
        <w:pStyle w:val="ListBullet"/>
      </w:pPr>
      <w:r>
        <w:rPr>
          <w:rFonts w:ascii="Microsoft YaHei" w:hAnsi="Microsoft YaHei"/>
          <w:b/>
          <w:color w:val="1A1A1A"/>
        </w:rPr>
        <w:t>交通基本设施(A股)</w:t>
      </w:r>
      <w:r>
        <w:rPr>
          <w:rFonts w:ascii="Microsoft YaHei" w:hAnsi="Microsoft YaHei"/>
        </w:rPr>
        <w:t xml:space="preserve"> 板块涨幅 </w:t>
      </w:r>
      <w:r>
        <w:rPr>
          <w:rFonts w:ascii="Microsoft YaHei" w:hAnsi="Microsoft YaHei"/>
          <w:b/>
          <w:color w:val="1A1A1A"/>
        </w:rPr>
        <w:t>+0.87%</w:t>
      </w:r>
      <w:r>
        <w:rPr>
          <w:rFonts w:ascii="Microsoft YaHei" w:hAnsi="Microsoft YaHei"/>
        </w:rPr>
        <w:t xml:space="preserve">，排名 </w:t>
      </w:r>
      <w:r>
        <w:rPr>
          <w:rFonts w:ascii="Microsoft YaHei" w:hAnsi="Microsoft YaHei"/>
          <w:b/>
          <w:color w:val="1A1A1A"/>
        </w:rPr>
        <w:t>137/1158</w:t>
      </w:r>
      <w:r>
        <w:rPr>
          <w:rFonts w:ascii="Microsoft YaHei" w:hAnsi="Microsoft YaHei"/>
        </w:rPr>
        <w:t>，板块内涨多跌少（32涨/12跌）</w:t>
      </w:r>
    </w:p>
    <w:p>
      <w:pPr>
        <w:pStyle w:val="ListBullet"/>
      </w:pPr>
      <w:r>
        <w:rPr>
          <w:rFonts w:ascii="Microsoft YaHei" w:hAnsi="Microsoft YaHei"/>
          <w:b/>
          <w:color w:val="1A1A1A"/>
        </w:rPr>
        <w:t>海港与服务(A股)</w:t>
      </w:r>
      <w:r>
        <w:rPr>
          <w:rFonts w:ascii="Microsoft YaHei" w:hAnsi="Microsoft YaHei"/>
        </w:rPr>
        <w:t xml:space="preserve"> 板块涨幅 </w:t>
      </w:r>
      <w:r>
        <w:rPr>
          <w:rFonts w:ascii="Microsoft YaHei" w:hAnsi="Microsoft YaHei"/>
          <w:b/>
          <w:color w:val="1A1A1A"/>
        </w:rPr>
        <w:t>+0.60%</w:t>
      </w:r>
      <w:r>
        <w:rPr>
          <w:rFonts w:ascii="Microsoft YaHei" w:hAnsi="Microsoft YaHei"/>
        </w:rPr>
        <w:t xml:space="preserve">，排名 </w:t>
      </w:r>
      <w:r>
        <w:rPr>
          <w:rFonts w:ascii="Microsoft YaHei" w:hAnsi="Microsoft YaHei"/>
          <w:b/>
          <w:color w:val="1A1A1A"/>
        </w:rPr>
        <w:t>163/1158</w:t>
      </w:r>
      <w:r>
        <w:rPr>
          <w:rFonts w:ascii="Microsoft YaHei" w:hAnsi="Microsoft YaHei"/>
        </w:rPr>
        <w:t>，13涨/5跌</w:t>
      </w:r>
    </w:p>
    <w:p>
      <w:pPr>
        <w:pStyle w:val="ListBullet"/>
      </w:pPr>
      <w:r>
        <w:rPr>
          <w:rFonts w:ascii="Microsoft YaHei" w:hAnsi="Microsoft YaHei"/>
          <w:b/>
          <w:color w:val="1A1A1A"/>
        </w:rPr>
        <w:t>运输(A股)</w:t>
      </w:r>
      <w:r>
        <w:rPr>
          <w:rFonts w:ascii="Microsoft YaHei" w:hAnsi="Microsoft YaHei"/>
        </w:rPr>
        <w:t xml:space="preserve"> 板块平盘（+0.02%），排名 </w:t>
      </w:r>
      <w:r>
        <w:rPr>
          <w:rFonts w:ascii="Microsoft YaHei" w:hAnsi="Microsoft YaHei"/>
          <w:b/>
          <w:color w:val="1A1A1A"/>
        </w:rPr>
        <w:t>219/1158</w:t>
      </w:r>
    </w:p>
    <w:p>
      <w:pPr>
        <w:pStyle w:val="ListBullet"/>
      </w:pPr>
      <w:r>
        <w:rPr>
          <w:rFonts w:ascii="Microsoft YaHei" w:hAnsi="Microsoft YaHei"/>
          <w:b/>
          <w:color w:val="1A1A1A"/>
        </w:rPr>
        <w:t>工业(A股)</w:t>
      </w:r>
      <w:r>
        <w:rPr>
          <w:rFonts w:ascii="Microsoft YaHei" w:hAnsi="Microsoft YaHei"/>
        </w:rPr>
        <w:t xml:space="preserve"> 板块表现较弱，下跌 </w:t>
      </w:r>
      <w:r>
        <w:rPr>
          <w:rFonts w:ascii="Microsoft YaHei" w:hAnsi="Microsoft YaHei"/>
          <w:b/>
          <w:color w:val="1A1A1A"/>
        </w:rPr>
        <w:t>-2.77%</w:t>
      </w:r>
    </w:p>
    <w:p>
      <w:r>
        <w:rPr>
          <w:rFonts w:ascii="Microsoft YaHei" w:hAnsi="Microsoft YaHei"/>
        </w:rPr>
        <w:t>整体来看，港口航运板块表现稳中有升，跑赢工业大类，与大盘同步回暖。</w:t>
      </w:r>
    </w:p>
    <w:p>
      <w:pPr>
        <w:spacing w:before="240" w:after="240"/>
        <w:pBdr>
          <w:bottom w:val="single" w:sz="4" w:space="1" w:color="D0D7DE"/>
        </w:pBdr>
      </w:pPr>
    </w:p>
    <w:p>
      <w:pPr>
        <w:spacing w:before="360" w:after="80" w:line="288" w:lineRule="auto"/>
        <w:pBdr>
          <w:bottom w:val="single" w:sz="4" w:space="4" w:color="D0D7DE"/>
        </w:pBdr>
      </w:pPr>
      <w:r>
        <w:rPr>
          <w:rFonts w:ascii="Microsoft YaHei" w:hAnsi="Microsoft YaHei"/>
          <w:b/>
          <w:color w:val="1A1A1A"/>
          <w:sz w:val="28"/>
        </w:rPr>
        <w:t>个股分析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指标</w:t>
            </w:r>
          </w:p>
        </w:tc>
        <w:tc>
          <w:tcPr>
            <w:tcW w:type="dxa" w:w="4533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数值</w:t>
            </w:r>
          </w:p>
        </w:tc>
      </w:tr>
      <w:tr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当前价</w:t>
            </w:r>
          </w:p>
        </w:tc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3.44 元</w:t>
            </w:r>
          </w:p>
        </w:tc>
      </w:tr>
      <w:tr>
        <w:tc>
          <w:tcPr>
            <w:tcW w:type="dxa" w:w="4533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昨收</w:t>
            </w:r>
          </w:p>
        </w:tc>
        <w:tc>
          <w:tcPr>
            <w:tcW w:type="dxa" w:w="4533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3.42 元</w:t>
            </w:r>
          </w:p>
        </w:tc>
      </w:tr>
      <w:tr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涨跌幅</w:t>
            </w:r>
          </w:p>
        </w:tc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+0.58%</w:t>
            </w:r>
          </w:p>
        </w:tc>
      </w:tr>
      <w:tr>
        <w:tc>
          <w:tcPr>
            <w:tcW w:type="dxa" w:w="4533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开盘 / 最高 / 最低</w:t>
            </w:r>
          </w:p>
        </w:tc>
        <w:tc>
          <w:tcPr>
            <w:tcW w:type="dxa" w:w="4533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3.40 / 3.45 / 3.39</w:t>
            </w:r>
          </w:p>
        </w:tc>
      </w:tr>
      <w:tr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成交量（手）</w:t>
            </w:r>
          </w:p>
        </w:tc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911,251</w:t>
            </w:r>
          </w:p>
        </w:tc>
      </w:tr>
      <w:tr>
        <w:tc>
          <w:tcPr>
            <w:tcW w:type="dxa" w:w="4533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成交额（万元）</w:t>
            </w:r>
          </w:p>
        </w:tc>
        <w:tc>
          <w:tcPr>
            <w:tcW w:type="dxa" w:w="4533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31,221.0</w:t>
            </w:r>
          </w:p>
        </w:tc>
      </w:tr>
      <w:tr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换手率</w:t>
            </w:r>
          </w:p>
        </w:tc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0.47%</w:t>
            </w:r>
            <w:r>
              <w:rPr>
                <w:rFonts w:ascii="Microsoft YaHei" w:hAnsi="Microsoft YaHei"/>
                <w:sz w:val="18"/>
              </w:rPr>
              <w:t xml:space="preserve">（较上日终 </w:t>
            </w:r>
            <w:r>
              <w:rPr>
                <w:rFonts w:ascii="Microsoft YaHei" w:hAnsi="Microsoft YaHei"/>
                <w:b/>
                <w:color w:val="1A1A1A"/>
                <w:sz w:val="18"/>
              </w:rPr>
              <w:t>+106%</w:t>
            </w:r>
            <w:r>
              <w:rPr>
                <w:rFonts w:ascii="Microsoft YaHei" w:hAnsi="Microsoft YaHei"/>
                <w:sz w:val="18"/>
              </w:rPr>
              <w:t>，放量明显）</w:t>
            </w:r>
          </w:p>
        </w:tc>
      </w:tr>
      <w:tr>
        <w:tc>
          <w:tcPr>
            <w:tcW w:type="dxa" w:w="4533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振幅</w:t>
            </w:r>
          </w:p>
        </w:tc>
        <w:tc>
          <w:tcPr>
            <w:tcW w:type="dxa" w:w="4533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1.75%</w:t>
            </w:r>
          </w:p>
        </w:tc>
      </w:tr>
      <w:tr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量比</w:t>
            </w:r>
          </w:p>
        </w:tc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1.35</w:t>
            </w:r>
            <w:r>
              <w:rPr>
                <w:rFonts w:ascii="Microsoft YaHei" w:hAnsi="Microsoft YaHei"/>
                <w:sz w:val="18"/>
              </w:rPr>
              <w:t>（交投活跃）</w:t>
            </w:r>
          </w:p>
        </w:tc>
      </w:tr>
      <w:tr>
        <w:tc>
          <w:tcPr>
            <w:tcW w:type="dxa" w:w="4533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动态市盈率</w:t>
            </w:r>
          </w:p>
        </w:tc>
        <w:tc>
          <w:tcPr>
            <w:tcW w:type="dxa" w:w="4533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14.3 倍</w:t>
            </w:r>
          </w:p>
        </w:tc>
      </w:tr>
      <w:tr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市净率</w:t>
            </w:r>
          </w:p>
        </w:tc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0.83 倍</w:t>
            </w:r>
            <w:r>
              <w:rPr>
                <w:rFonts w:ascii="Microsoft YaHei" w:hAnsi="Microsoft YaHei"/>
                <w:sz w:val="18"/>
              </w:rPr>
              <w:t>（破净）</w:t>
            </w:r>
          </w:p>
        </w:tc>
      </w:tr>
    </w:tbl>
    <w:p/>
    <w:p>
      <w:r>
        <w:rPr>
          <w:rFonts w:ascii="Microsoft YaHei" w:hAnsi="Microsoft YaHei"/>
          <w:b/>
          <w:color w:val="1A1A1A"/>
        </w:rPr>
        <w:t>关键解读：</w:t>
      </w:r>
    </w:p>
    <w:p>
      <w:pPr>
        <w:pStyle w:val="ListBullet"/>
      </w:pPr>
      <w:r>
        <w:rPr>
          <w:rFonts w:ascii="Microsoft YaHei" w:hAnsi="Microsoft YaHei"/>
        </w:rPr>
        <w:t xml:space="preserve">上午高开（3.40）后震荡走高，盘中摸高 </w:t>
      </w:r>
      <w:r>
        <w:rPr>
          <w:rFonts w:ascii="Microsoft YaHei" w:hAnsi="Microsoft YaHei"/>
          <w:b/>
          <w:color w:val="1A1A1A"/>
        </w:rPr>
        <w:t>3.45</w:t>
      </w:r>
      <w:r>
        <w:rPr>
          <w:rFonts w:ascii="Microsoft YaHei" w:hAnsi="Microsoft YaHei"/>
        </w:rPr>
        <w:t xml:space="preserve">，尾盘收于 </w:t>
      </w:r>
      <w:r>
        <w:rPr>
          <w:rFonts w:ascii="Microsoft YaHei" w:hAnsi="Microsoft YaHei"/>
          <w:b/>
          <w:color w:val="1A1A1A"/>
        </w:rPr>
        <w:t>3.44</w:t>
      </w:r>
      <w:r>
        <w:rPr>
          <w:rFonts w:ascii="Microsoft YaHei" w:hAnsi="Microsoft YaHei"/>
        </w:rPr>
        <w:t>，全天呈现"低开高走"格局</w:t>
      </w:r>
    </w:p>
    <w:p>
      <w:pPr>
        <w:pStyle w:val="ListBullet"/>
      </w:pPr>
      <w:r>
        <w:rPr>
          <w:rFonts w:ascii="Microsoft YaHei" w:hAnsi="Microsoft YaHei"/>
        </w:rPr>
        <w:t xml:space="preserve">换手率 </w:t>
      </w:r>
      <w:r>
        <w:rPr>
          <w:rFonts w:ascii="Microsoft YaHei" w:hAnsi="Microsoft YaHei"/>
          <w:b/>
          <w:color w:val="1A1A1A"/>
        </w:rPr>
        <w:t>0.47%</w:t>
      </w:r>
      <w:r>
        <w:rPr>
          <w:rFonts w:ascii="Microsoft YaHei" w:hAnsi="Microsoft YaHei"/>
        </w:rPr>
        <w:t xml:space="preserve"> 是上个交易日全天换手（0.2278%）的 </w:t>
      </w:r>
      <w:r>
        <w:rPr>
          <w:rFonts w:ascii="Microsoft YaHei" w:hAnsi="Microsoft YaHei"/>
          <w:b/>
          <w:color w:val="1A1A1A"/>
        </w:rPr>
        <w:t>2.06倍</w:t>
      </w:r>
      <w:r>
        <w:rPr>
          <w:rFonts w:ascii="Microsoft YaHei" w:hAnsi="Microsoft YaHei"/>
        </w:rPr>
        <w:t>，半日即完成翻倍放量，显示资金参与度显著提升</w:t>
      </w:r>
    </w:p>
    <w:p>
      <w:pPr>
        <w:pStyle w:val="ListBullet"/>
      </w:pPr>
      <w:r>
        <w:rPr>
          <w:rFonts w:ascii="Microsoft YaHei" w:hAnsi="Microsoft YaHei"/>
        </w:rPr>
        <w:t xml:space="preserve">量比 </w:t>
      </w:r>
      <w:r>
        <w:rPr>
          <w:rFonts w:ascii="Microsoft YaHei" w:hAnsi="Microsoft YaHei"/>
          <w:b/>
          <w:color w:val="1A1A1A"/>
        </w:rPr>
        <w:t>1.35</w:t>
      </w:r>
      <w:r>
        <w:rPr>
          <w:rFonts w:ascii="Microsoft YaHei" w:hAnsi="Microsoft YaHei"/>
        </w:rPr>
        <w:t xml:space="preserve"> &gt; 1，确认交投较近期均值活跃</w:t>
      </w:r>
    </w:p>
    <w:p>
      <w:pPr>
        <w:pStyle w:val="ListBullet"/>
      </w:pPr>
      <w:r>
        <w:rPr>
          <w:rFonts w:ascii="Microsoft YaHei" w:hAnsi="Microsoft YaHei"/>
        </w:rPr>
        <w:t xml:space="preserve">动态市盈率 </w:t>
      </w:r>
      <w:r>
        <w:rPr>
          <w:rFonts w:ascii="Microsoft YaHei" w:hAnsi="Microsoft YaHei"/>
          <w:b/>
          <w:color w:val="1A1A1A"/>
        </w:rPr>
        <w:t>14.3倍</w:t>
      </w:r>
      <w:r>
        <w:rPr>
          <w:rFonts w:ascii="Microsoft YaHei" w:hAnsi="Microsoft YaHei"/>
        </w:rPr>
        <w:t xml:space="preserve"> 处于港口行业合理偏低区间，PB仅 </w:t>
      </w:r>
      <w:r>
        <w:rPr>
          <w:rFonts w:ascii="Microsoft YaHei" w:hAnsi="Microsoft YaHei"/>
          <w:b/>
          <w:color w:val="1A1A1A"/>
        </w:rPr>
        <w:t>0.83倍</w:t>
      </w:r>
      <w:r>
        <w:rPr>
          <w:rFonts w:ascii="Microsoft YaHei" w:hAnsi="Microsoft YaHei"/>
        </w:rPr>
        <w:t>，仍处于"破净"状态，具备估值修复空间</w:t>
      </w:r>
    </w:p>
    <w:p>
      <w:pPr>
        <w:spacing w:before="240" w:after="240"/>
        <w:pBdr>
          <w:bottom w:val="single" w:sz="4" w:space="1" w:color="D0D7DE"/>
        </w:pBdr>
      </w:pPr>
    </w:p>
    <w:p>
      <w:pPr>
        <w:spacing w:before="360" w:after="80" w:line="288" w:lineRule="auto"/>
        <w:pBdr>
          <w:bottom w:val="single" w:sz="4" w:space="4" w:color="D0D7DE"/>
        </w:pBdr>
      </w:pPr>
      <w:r>
        <w:rPr>
          <w:rFonts w:ascii="Microsoft YaHei" w:hAnsi="Microsoft YaHei"/>
          <w:b/>
          <w:color w:val="1A1A1A"/>
          <w:sz w:val="28"/>
        </w:rPr>
        <w:t>资金面</w:t>
      </w:r>
    </w:p>
    <w:p>
      <w:pPr>
        <w:spacing w:before="280" w:after="80" w:line="312" w:lineRule="auto"/>
      </w:pPr>
      <w:r>
        <w:rPr>
          <w:rFonts w:ascii="Microsoft YaHei" w:hAnsi="Microsoft YaHei"/>
          <w:b/>
          <w:color w:val="333333"/>
          <w:sz w:val="24"/>
        </w:rPr>
        <w:t>盘中逐分钟资金流向（截至午间）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维度</w:t>
            </w:r>
          </w:p>
        </w:tc>
        <w:tc>
          <w:tcPr>
            <w:tcW w:type="dxa" w:w="4533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数据</w:t>
            </w:r>
          </w:p>
        </w:tc>
      </w:tr>
      <w:tr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净流向</w:t>
            </w:r>
          </w:p>
        </w:tc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净流入 5,476.86 万元</w:t>
            </w:r>
          </w:p>
        </w:tc>
      </w:tr>
      <w:tr>
        <w:tc>
          <w:tcPr>
            <w:tcW w:type="dxa" w:w="4533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资金流入分钟数</w:t>
            </w:r>
          </w:p>
        </w:tc>
        <w:tc>
          <w:tcPr>
            <w:tcW w:type="dxa" w:w="4533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136 分钟</w:t>
            </w:r>
          </w:p>
        </w:tc>
      </w:tr>
      <w:tr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资金流出分钟数</w:t>
            </w:r>
          </w:p>
        </w:tc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70 分钟</w:t>
            </w:r>
          </w:p>
        </w:tc>
      </w:tr>
      <w:tr>
        <w:tc>
          <w:tcPr>
            <w:tcW w:type="dxa" w:w="4533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最大单分钟流入</w:t>
            </w:r>
          </w:p>
        </w:tc>
        <w:tc>
          <w:tcPr>
            <w:tcW w:type="dxa" w:w="4533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1,172.0 万元</w:t>
            </w:r>
          </w:p>
        </w:tc>
      </w:tr>
      <w:tr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最大单分钟流出</w:t>
            </w:r>
          </w:p>
        </w:tc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589.1 万元</w:t>
            </w:r>
          </w:p>
        </w:tc>
      </w:tr>
    </w:tbl>
    <w:p/>
    <w:p>
      <w:r>
        <w:rPr>
          <w:rFonts w:ascii="Microsoft YaHei" w:hAnsi="Microsoft YaHei"/>
        </w:rPr>
        <w:t xml:space="preserve">资金全天 </w:t>
      </w:r>
      <w:r>
        <w:rPr>
          <w:rFonts w:ascii="Microsoft YaHei" w:hAnsi="Microsoft YaHei"/>
          <w:b/>
          <w:color w:val="1A1A1A"/>
        </w:rPr>
        <w:t>净流入</w:t>
      </w:r>
      <w:r>
        <w:rPr>
          <w:rFonts w:ascii="Microsoft YaHei" w:hAnsi="Microsoft YaHei"/>
        </w:rPr>
        <w:t>，且流入分钟数（136）远多于流出分钟数（70），多头占优格局明显。</w:t>
      </w:r>
    </w:p>
    <w:p>
      <w:pPr>
        <w:spacing w:before="280" w:after="80" w:line="312" w:lineRule="auto"/>
      </w:pPr>
      <w:r>
        <w:rPr>
          <w:rFonts w:ascii="Microsoft YaHei" w:hAnsi="Microsoft YaHei"/>
          <w:b/>
          <w:color w:val="333333"/>
          <w:sz w:val="24"/>
        </w:rPr>
        <w:t>上一交易日日终资金细分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类型</w:t>
            </w:r>
          </w:p>
        </w:tc>
        <w:tc>
          <w:tcPr>
            <w:tcW w:type="dxa" w:w="3022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净额（元）</w:t>
            </w:r>
          </w:p>
        </w:tc>
        <w:tc>
          <w:tcPr>
            <w:tcW w:type="dxa" w:w="3022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分析</w:t>
            </w:r>
          </w:p>
        </w:tc>
      </w:tr>
      <w:tr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大单净额</w:t>
            </w:r>
          </w:p>
        </w:tc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+37,177,565</w:t>
            </w:r>
          </w:p>
        </w:tc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主力资金净买入，态度积极</w:t>
            </w:r>
          </w:p>
        </w:tc>
      </w:tr>
      <w:tr>
        <w:tc>
          <w:tcPr>
            <w:tcW w:type="dxa" w:w="3022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中单净额</w:t>
            </w:r>
          </w:p>
        </w:tc>
        <w:tc>
          <w:tcPr>
            <w:tcW w:type="dxa" w:w="3022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+8,746,978</w:t>
            </w:r>
          </w:p>
        </w:tc>
        <w:tc>
          <w:tcPr>
            <w:tcW w:type="dxa" w:w="3022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跟随买入</w:t>
            </w:r>
          </w:p>
        </w:tc>
      </w:tr>
      <w:tr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小单净额</w:t>
            </w:r>
          </w:p>
        </w:tc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+8,832,046</w:t>
            </w:r>
          </w:p>
        </w:tc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散户同样偏多</w:t>
            </w:r>
          </w:p>
        </w:tc>
      </w:tr>
      <w:tr>
        <w:tc>
          <w:tcPr>
            <w:tcW w:type="dxa" w:w="3022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合计净额</w:t>
            </w:r>
          </w:p>
        </w:tc>
        <w:tc>
          <w:tcPr>
            <w:tcW w:type="dxa" w:w="3022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+54,756,589</w:t>
            </w:r>
          </w:p>
        </w:tc>
        <w:tc>
          <w:tcPr>
            <w:tcW w:type="dxa" w:w="3022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全口径净流入</w:t>
            </w:r>
          </w:p>
        </w:tc>
      </w:tr>
    </w:tbl>
    <w:p/>
    <w:p>
      <w:r>
        <w:rPr>
          <w:rFonts w:ascii="Microsoft YaHei" w:hAnsi="Microsoft YaHei"/>
        </w:rPr>
        <w:t xml:space="preserve">大单净流入 </w:t>
      </w:r>
      <w:r>
        <w:rPr>
          <w:rFonts w:ascii="Microsoft YaHei" w:hAnsi="Microsoft YaHei"/>
          <w:b/>
          <w:color w:val="1A1A1A"/>
        </w:rPr>
        <w:t>3,718万元</w:t>
      </w:r>
      <w:r>
        <w:rPr>
          <w:rFonts w:ascii="Microsoft YaHei" w:hAnsi="Microsoft YaHei"/>
        </w:rPr>
        <w:t>，是资金净流入的核心驱动力，主力资金连续两个半日呈现买入姿态。</w:t>
      </w:r>
    </w:p>
    <w:p>
      <w:pPr>
        <w:spacing w:before="280" w:after="80" w:line="312" w:lineRule="auto"/>
      </w:pPr>
      <w:r>
        <w:rPr>
          <w:rFonts w:ascii="Microsoft YaHei" w:hAnsi="Microsoft YaHei"/>
          <w:b/>
          <w:color w:val="333333"/>
          <w:sz w:val="24"/>
        </w:rPr>
        <w:t>融资融券（上一交易日终）</w:t>
      </w:r>
    </w:p>
    <w:p>
      <w:pPr>
        <w:pStyle w:val="ListBullet"/>
      </w:pPr>
      <w:r>
        <w:rPr>
          <w:rFonts w:ascii="Microsoft YaHei" w:hAnsi="Microsoft YaHei"/>
        </w:rPr>
        <w:t>融资余额：</w:t>
      </w:r>
      <w:r>
        <w:rPr>
          <w:rFonts w:ascii="Microsoft YaHei" w:hAnsi="Microsoft YaHei"/>
          <w:b/>
          <w:color w:val="1A1A1A"/>
        </w:rPr>
        <w:t>2.87亿</w:t>
      </w:r>
      <w:r>
        <w:rPr>
          <w:rFonts w:ascii="Microsoft YaHei" w:hAnsi="Microsoft YaHei"/>
        </w:rPr>
        <w:t>（较前日 -0.04%，小幅偿还）</w:t>
      </w:r>
    </w:p>
    <w:p>
      <w:pPr>
        <w:pStyle w:val="ListBullet"/>
      </w:pPr>
      <w:r>
        <w:rPr>
          <w:rFonts w:ascii="Microsoft YaHei" w:hAnsi="Microsoft YaHei"/>
        </w:rPr>
        <w:t>融券余额：</w:t>
      </w:r>
      <w:r>
        <w:rPr>
          <w:rFonts w:ascii="Microsoft YaHei" w:hAnsi="Microsoft YaHei"/>
          <w:b/>
          <w:color w:val="1A1A1A"/>
        </w:rPr>
        <w:t>0.01亿</w:t>
      </w:r>
      <w:r>
        <w:rPr>
          <w:rFonts w:ascii="Microsoft YaHei" w:hAnsi="Microsoft YaHei"/>
        </w:rPr>
        <w:t>（较前日 +4.52%，融券规模极小）</w:t>
      </w:r>
    </w:p>
    <w:p>
      <w:r>
        <w:rPr>
          <w:rFonts w:ascii="Microsoft YaHei" w:hAnsi="Microsoft YaHei"/>
        </w:rPr>
        <w:t xml:space="preserve">融资余额稳定在 </w:t>
      </w:r>
      <w:r>
        <w:rPr>
          <w:rFonts w:ascii="Microsoft YaHei" w:hAnsi="Microsoft YaHei"/>
          <w:b/>
          <w:color w:val="1A1A1A"/>
        </w:rPr>
        <w:t>2.87亿</w:t>
      </w:r>
      <w:r>
        <w:rPr>
          <w:rFonts w:ascii="Microsoft YaHei" w:hAnsi="Microsoft YaHei"/>
        </w:rPr>
        <w:t xml:space="preserve"> 附近，融券余额极低（仅 </w:t>
      </w:r>
      <w:r>
        <w:rPr>
          <w:rFonts w:ascii="Microsoft YaHei" w:hAnsi="Microsoft YaHei"/>
          <w:b/>
          <w:color w:val="1A1A1A"/>
        </w:rPr>
        <w:t>100万</w:t>
      </w:r>
      <w:r>
        <w:rPr>
          <w:rFonts w:ascii="Microsoft YaHei" w:hAnsi="Microsoft YaHei"/>
        </w:rPr>
        <w:t>），做空力量微弱，对股价不构成压力。</w:t>
      </w:r>
    </w:p>
    <w:p>
      <w:pPr>
        <w:spacing w:before="240" w:after="240"/>
        <w:pBdr>
          <w:bottom w:val="single" w:sz="4" w:space="1" w:color="D0D7DE"/>
        </w:pBdr>
      </w:pPr>
    </w:p>
    <w:p>
      <w:pPr>
        <w:spacing w:before="360" w:after="80" w:line="288" w:lineRule="auto"/>
        <w:pBdr>
          <w:bottom w:val="single" w:sz="4" w:space="4" w:color="D0D7DE"/>
        </w:pBdr>
      </w:pPr>
      <w:r>
        <w:rPr>
          <w:rFonts w:ascii="Microsoft YaHei" w:hAnsi="Microsoft YaHei"/>
          <w:b/>
          <w:color w:val="1A1A1A"/>
          <w:sz w:val="28"/>
        </w:rPr>
        <w:t>技术面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指标</w:t>
            </w:r>
          </w:p>
        </w:tc>
        <w:tc>
          <w:tcPr>
            <w:tcW w:type="dxa" w:w="3022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价格</w:t>
            </w:r>
          </w:p>
        </w:tc>
        <w:tc>
          <w:tcPr>
            <w:tcW w:type="dxa" w:w="3022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偏离度</w:t>
            </w:r>
          </w:p>
        </w:tc>
      </w:tr>
      <w:tr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MA5（≈3.41）</w:t>
            </w:r>
          </w:p>
        </w:tc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3.44</w:t>
            </w:r>
          </w:p>
        </w:tc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+0.9%</w:t>
            </w:r>
            <w:r>
              <w:rPr>
                <w:rFonts w:ascii="Microsoft YaHei" w:hAnsi="Microsoft YaHei"/>
                <w:sz w:val="18"/>
              </w:rPr>
              <w:t>，站稳均线上方</w:t>
            </w:r>
          </w:p>
        </w:tc>
      </w:tr>
      <w:tr>
        <w:tc>
          <w:tcPr>
            <w:tcW w:type="dxa" w:w="3022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MA10（≈3.38）</w:t>
            </w:r>
          </w:p>
        </w:tc>
        <w:tc>
          <w:tcPr>
            <w:tcW w:type="dxa" w:w="3022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3.44</w:t>
            </w:r>
          </w:p>
        </w:tc>
        <w:tc>
          <w:tcPr>
            <w:tcW w:type="dxa" w:w="3022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+1.8%</w:t>
            </w:r>
            <w:r>
              <w:rPr>
                <w:rFonts w:ascii="Microsoft YaHei" w:hAnsi="Microsoft YaHei"/>
                <w:sz w:val="18"/>
              </w:rPr>
              <w:t>，多头排列</w:t>
            </w:r>
          </w:p>
        </w:tc>
      </w:tr>
      <w:tr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MA20/布林中轨（≈3.32）</w:t>
            </w:r>
          </w:p>
        </w:tc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3.44</w:t>
            </w:r>
          </w:p>
        </w:tc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+3.6%</w:t>
            </w:r>
            <w:r>
              <w:rPr>
                <w:rFonts w:ascii="Microsoft YaHei" w:hAnsi="Microsoft YaHei"/>
                <w:sz w:val="18"/>
              </w:rPr>
              <w:t>，趋势向上</w:t>
            </w:r>
          </w:p>
        </w:tc>
      </w:tr>
      <w:tr>
        <w:tc>
          <w:tcPr>
            <w:tcW w:type="dxa" w:w="3022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布林带上轨</w:t>
            </w:r>
          </w:p>
        </w:tc>
        <w:tc>
          <w:tcPr>
            <w:tcW w:type="dxa" w:w="3022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3.48</w:t>
            </w:r>
          </w:p>
        </w:tc>
        <w:tc>
          <w:tcPr>
            <w:tcW w:type="dxa" w:w="3022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 xml:space="preserve">距当前价仅 </w:t>
            </w:r>
            <w:r>
              <w:rPr>
                <w:rFonts w:ascii="Microsoft YaHei" w:hAnsi="Microsoft YaHei"/>
                <w:b/>
                <w:color w:val="1A1A1A"/>
                <w:sz w:val="18"/>
              </w:rPr>
              <w:t>1.2%</w:t>
            </w:r>
          </w:p>
        </w:tc>
      </w:tr>
      <w:tr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布林带下轨</w:t>
            </w:r>
          </w:p>
        </w:tc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3.16</w:t>
            </w:r>
          </w:p>
        </w:tc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安全垫充足</w:t>
            </w:r>
          </w:p>
        </w:tc>
      </w:tr>
    </w:tbl>
    <w:p/>
    <w:p>
      <w:r>
        <w:rPr>
          <w:rFonts w:ascii="Microsoft YaHei" w:hAnsi="Microsoft YaHei"/>
          <w:b/>
          <w:color w:val="1A1A1A"/>
        </w:rPr>
        <w:t>技术形态判断：</w:t>
      </w:r>
    </w:p>
    <w:p>
      <w:pPr>
        <w:pStyle w:val="ListBullet"/>
      </w:pPr>
      <w:r>
        <w:rPr>
          <w:rFonts w:ascii="Microsoft YaHei" w:hAnsi="Microsoft YaHei"/>
        </w:rPr>
        <w:t xml:space="preserve">当前价 </w:t>
      </w:r>
      <w:r>
        <w:rPr>
          <w:rFonts w:ascii="Microsoft YaHei" w:hAnsi="Microsoft YaHei"/>
          <w:b/>
          <w:color w:val="1A1A1A"/>
        </w:rPr>
        <w:t>3.44</w:t>
      </w:r>
      <w:r>
        <w:rPr>
          <w:rFonts w:ascii="Microsoft YaHei" w:hAnsi="Microsoft YaHei"/>
        </w:rPr>
        <w:t xml:space="preserve"> 站上 </w:t>
      </w:r>
      <w:r>
        <w:rPr>
          <w:rFonts w:ascii="Microsoft YaHei" w:hAnsi="Microsoft YaHei"/>
          <w:b/>
          <w:color w:val="1A1A1A"/>
        </w:rPr>
        <w:t>MA5（3.41）</w:t>
      </w:r>
      <w:r>
        <w:rPr>
          <w:rFonts w:ascii="Microsoft YaHei" w:hAnsi="Microsoft YaHei"/>
        </w:rPr>
        <w:t xml:space="preserve"> 和 </w:t>
      </w:r>
      <w:r>
        <w:rPr>
          <w:rFonts w:ascii="Microsoft YaHei" w:hAnsi="Microsoft YaHei"/>
          <w:b/>
          <w:color w:val="1A1A1A"/>
        </w:rPr>
        <w:t>MA10（3.38）</w:t>
      </w:r>
      <w:r>
        <w:rPr>
          <w:rFonts w:ascii="Microsoft YaHei" w:hAnsi="Microsoft YaHei"/>
        </w:rPr>
        <w:t>，短期均线系统呈现多头排列</w:t>
      </w:r>
    </w:p>
    <w:p>
      <w:pPr>
        <w:pStyle w:val="ListBullet"/>
      </w:pPr>
      <w:r>
        <w:rPr>
          <w:rFonts w:ascii="Microsoft YaHei" w:hAnsi="Microsoft YaHei"/>
        </w:rPr>
        <w:t xml:space="preserve">距离 </w:t>
      </w:r>
      <w:r>
        <w:rPr>
          <w:rFonts w:ascii="Microsoft YaHei" w:hAnsi="Microsoft YaHei"/>
          <w:b/>
          <w:color w:val="1A1A1A"/>
        </w:rPr>
        <w:t>MA20/布林中轨（3.32）</w:t>
      </w:r>
      <w:r>
        <w:rPr>
          <w:rFonts w:ascii="Microsoft YaHei" w:hAnsi="Microsoft YaHei"/>
        </w:rPr>
        <w:t xml:space="preserve"> 已有 </w:t>
      </w:r>
      <w:r>
        <w:rPr>
          <w:rFonts w:ascii="Microsoft YaHei" w:hAnsi="Microsoft YaHei"/>
          <w:b/>
          <w:color w:val="1A1A1A"/>
        </w:rPr>
        <w:t>3.6%</w:t>
      </w:r>
      <w:r>
        <w:rPr>
          <w:rFonts w:ascii="Microsoft YaHei" w:hAnsi="Microsoft YaHei"/>
        </w:rPr>
        <w:t xml:space="preserve"> 的正向偏离，中期趋势进一步确认向上</w:t>
      </w:r>
    </w:p>
    <w:p>
      <w:pPr>
        <w:pStyle w:val="ListBullet"/>
      </w:pPr>
      <w:r>
        <w:rPr>
          <w:rFonts w:ascii="Microsoft YaHei" w:hAnsi="Microsoft YaHei"/>
        </w:rPr>
        <w:t xml:space="preserve">布林带宽度适中（3.16~3.48），股价接近上轨 </w:t>
      </w:r>
      <w:r>
        <w:rPr>
          <w:rFonts w:ascii="Microsoft YaHei" w:hAnsi="Microsoft YaHei"/>
          <w:b/>
          <w:color w:val="1A1A1A"/>
        </w:rPr>
        <w:t>3.48</w:t>
      </w:r>
      <w:r>
        <w:rPr>
          <w:rFonts w:ascii="Microsoft YaHei" w:hAnsi="Microsoft YaHei"/>
        </w:rPr>
        <w:t xml:space="preserve">，短期若放量突破上轨，则有望打开上行空间；若受阻，可能回踩 </w:t>
      </w:r>
      <w:r>
        <w:rPr>
          <w:rFonts w:ascii="Microsoft YaHei" w:hAnsi="Microsoft YaHei"/>
          <w:b/>
          <w:color w:val="1A1A1A"/>
        </w:rPr>
        <w:t>MA5（3.41）</w:t>
      </w:r>
      <w:r>
        <w:rPr>
          <w:rFonts w:ascii="Microsoft YaHei" w:hAnsi="Microsoft YaHei"/>
        </w:rPr>
        <w:t xml:space="preserve"> 寻求支撑</w:t>
      </w:r>
    </w:p>
    <w:p>
      <w:pPr>
        <w:spacing w:before="240" w:after="240"/>
        <w:pBdr>
          <w:bottom w:val="single" w:sz="4" w:space="1" w:color="D0D7DE"/>
        </w:pBdr>
      </w:pPr>
    </w:p>
    <w:p>
      <w:pPr>
        <w:spacing w:before="360" w:after="80" w:line="288" w:lineRule="auto"/>
        <w:pBdr>
          <w:bottom w:val="single" w:sz="4" w:space="4" w:color="D0D7DE"/>
        </w:pBdr>
      </w:pPr>
      <w:r>
        <w:rPr>
          <w:rFonts w:ascii="Microsoft YaHei" w:hAnsi="Microsoft YaHei"/>
          <w:b/>
          <w:color w:val="1A1A1A"/>
          <w:sz w:val="28"/>
        </w:rPr>
        <w:t>新闻资讯</w:t>
      </w:r>
    </w:p>
    <w:p>
      <w:r>
        <w:rPr>
          <w:rFonts w:ascii="Microsoft YaHei" w:hAnsi="Microsoft YaHei"/>
        </w:rPr>
        <w:t>今日盘中有一条与航运相关的重要全球快讯值得关注：</w:t>
      </w:r>
    </w:p>
    <w:p>
      <w:r>
        <w:rPr>
          <w:rFonts w:ascii="Microsoft YaHei" w:hAnsi="Microsoft YaHei"/>
          <w:b/>
          <w:color w:val="1A1A1A"/>
        </w:rPr>
        <w:t>霍尔木兹海峡局势升温：</w:t>
      </w:r>
    </w:p>
    <w:p>
      <w:pPr>
        <w:pStyle w:val="ListBullet"/>
      </w:pPr>
      <w:r>
        <w:rPr>
          <w:rFonts w:ascii="Microsoft YaHei" w:hAnsi="Microsoft YaHei"/>
        </w:rPr>
        <w:t>伊朗提出由伊朗和阿曼分别管理霍尔木兹海峡两侧航运通道的方案</w:t>
      </w:r>
    </w:p>
    <w:p>
      <w:pPr>
        <w:pStyle w:val="ListBullet"/>
      </w:pPr>
      <w:r>
        <w:rPr>
          <w:rFonts w:ascii="Microsoft YaHei" w:hAnsi="Microsoft YaHei"/>
        </w:rPr>
        <w:t>伊朗军方声明：任何接受美国使用伊朗资产进行赔偿的国家或公司，其所属船只将不被允许通过霍尔木兹海峡</w:t>
      </w:r>
    </w:p>
    <w:p>
      <w:pPr>
        <w:pStyle w:val="ListBullet"/>
      </w:pPr>
      <w:r>
        <w:rPr>
          <w:rFonts w:ascii="Microsoft YaHei" w:hAnsi="Microsoft YaHei"/>
        </w:rPr>
        <w:t>美国通过阿曼传话称"不发动袭击"，局势处于"谈判与威慑并存"阶段</w:t>
      </w:r>
    </w:p>
    <w:p>
      <w:r>
        <w:rPr>
          <w:rFonts w:ascii="Microsoft YaHei" w:hAnsi="Microsoft YaHei"/>
          <w:b/>
          <w:color w:val="1A1A1A"/>
        </w:rPr>
        <w:t>影响分析：</w:t>
      </w:r>
    </w:p>
    <w:p>
      <w:pPr>
        <w:pStyle w:val="ListBullet"/>
      </w:pPr>
      <w:r>
        <w:rPr>
          <w:rFonts w:ascii="Microsoft YaHei" w:hAnsi="Microsoft YaHei"/>
        </w:rPr>
        <w:t>霍尔木兹海峡是全球最重要的石油运输通道之一，局势不确定性对全球航运路线规划产生扰动</w:t>
      </w:r>
    </w:p>
    <w:p>
      <w:pPr>
        <w:pStyle w:val="ListBullet"/>
      </w:pPr>
      <w:r>
        <w:rPr>
          <w:rFonts w:ascii="Microsoft YaHei" w:hAnsi="Microsoft YaHei"/>
        </w:rPr>
        <w:t>若局势持续紧张，部分航线可能改道或寻求替代港口，理论上利好具备国际中转能力的中国港口</w:t>
      </w:r>
    </w:p>
    <w:p>
      <w:pPr>
        <w:pStyle w:val="ListBullet"/>
      </w:pPr>
      <w:r>
        <w:rPr>
          <w:rFonts w:ascii="Microsoft YaHei" w:hAnsi="Microsoft YaHei"/>
        </w:rPr>
        <w:t>但该消息更多是地缘政治的宏观背景，对宁波港的直接业务影响较小，需持续关注局势演变</w:t>
      </w:r>
    </w:p>
    <w:p>
      <w:r>
        <w:rPr>
          <w:rFonts w:ascii="Microsoft YaHei" w:hAnsi="Microsoft YaHei"/>
        </w:rPr>
        <w:t>此外，</w:t>
      </w:r>
      <w:r>
        <w:rPr>
          <w:rFonts w:ascii="Microsoft YaHei" w:hAnsi="Microsoft YaHei"/>
          <w:b/>
          <w:color w:val="1A1A1A"/>
        </w:rPr>
        <w:t>国际原油期货结算价大幅收跌超4%</w:t>
      </w:r>
      <w:r>
        <w:rPr>
          <w:rFonts w:ascii="Microsoft YaHei" w:hAnsi="Microsoft YaHei"/>
        </w:rPr>
        <w:t>，油价下跌有助于降低航运企业的燃料成本，对港口物流行业构成成本端利好。</w:t>
      </w:r>
    </w:p>
    <w:p>
      <w:pPr>
        <w:spacing w:before="240" w:after="240"/>
        <w:pBdr>
          <w:bottom w:val="single" w:sz="4" w:space="1" w:color="D0D7DE"/>
        </w:pBdr>
      </w:pPr>
    </w:p>
    <w:p>
      <w:pPr>
        <w:spacing w:before="360" w:after="80" w:line="288" w:lineRule="auto"/>
        <w:pBdr>
          <w:bottom w:val="single" w:sz="4" w:space="4" w:color="D0D7DE"/>
        </w:pBdr>
      </w:pPr>
      <w:r>
        <w:rPr>
          <w:rFonts w:ascii="Microsoft YaHei" w:hAnsi="Microsoft YaHei"/>
          <w:b/>
          <w:color w:val="1A1A1A"/>
          <w:sz w:val="28"/>
        </w:rPr>
        <w:t>板块关联</w:t>
      </w:r>
    </w:p>
    <w:p>
      <w:r>
        <w:rPr>
          <w:rFonts w:ascii="Microsoft YaHei" w:hAnsi="Microsoft YaHei"/>
        </w:rPr>
        <w:t>宁波港所属主要板块今日表现一览：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板块</w:t>
            </w:r>
          </w:p>
        </w:tc>
        <w:tc>
          <w:tcPr>
            <w:tcW w:type="dxa" w:w="2266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涨跌幅</w:t>
            </w:r>
          </w:p>
        </w:tc>
        <w:tc>
          <w:tcPr>
            <w:tcW w:type="dxa" w:w="2266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板块排名</w:t>
            </w:r>
          </w:p>
        </w:tc>
        <w:tc>
          <w:tcPr>
            <w:tcW w:type="dxa" w:w="2266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板块内该股排名</w:t>
            </w:r>
          </w:p>
        </w:tc>
      </w:tr>
      <w:tr>
        <w:tc>
          <w:tcPr>
            <w:tcW w:type="dxa" w:w="2266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海港与服务(A股)</w:t>
            </w:r>
          </w:p>
        </w:tc>
        <w:tc>
          <w:tcPr>
            <w:tcW w:type="dxa" w:w="2266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+0.60%</w:t>
            </w:r>
          </w:p>
        </w:tc>
        <w:tc>
          <w:tcPr>
            <w:tcW w:type="dxa" w:w="2266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163/1158</w:t>
            </w:r>
          </w:p>
        </w:tc>
        <w:tc>
          <w:tcPr>
            <w:tcW w:type="dxa" w:w="2266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12/19</w:t>
            </w:r>
          </w:p>
        </w:tc>
      </w:tr>
      <w:tr>
        <w:tc>
          <w:tcPr>
            <w:tcW w:type="dxa" w:w="2266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交通基本设施(A股)</w:t>
            </w:r>
          </w:p>
        </w:tc>
        <w:tc>
          <w:tcPr>
            <w:tcW w:type="dxa" w:w="2266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+0.87%</w:t>
            </w:r>
          </w:p>
        </w:tc>
        <w:tc>
          <w:tcPr>
            <w:tcW w:type="dxa" w:w="2266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137/1158</w:t>
            </w:r>
          </w:p>
        </w:tc>
        <w:tc>
          <w:tcPr>
            <w:tcW w:type="dxa" w:w="2266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29/47</w:t>
            </w:r>
          </w:p>
        </w:tc>
      </w:tr>
      <w:tr>
        <w:tc>
          <w:tcPr>
            <w:tcW w:type="dxa" w:w="2266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运输(A股)</w:t>
            </w:r>
          </w:p>
        </w:tc>
        <w:tc>
          <w:tcPr>
            <w:tcW w:type="dxa" w:w="2266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+0.02%</w:t>
            </w:r>
          </w:p>
        </w:tc>
        <w:tc>
          <w:tcPr>
            <w:tcW w:type="dxa" w:w="2266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219/1158</w:t>
            </w:r>
          </w:p>
        </w:tc>
        <w:tc>
          <w:tcPr>
            <w:tcW w:type="dxa" w:w="2266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60/121</w:t>
            </w:r>
          </w:p>
        </w:tc>
      </w:tr>
      <w:tr>
        <w:tc>
          <w:tcPr>
            <w:tcW w:type="dxa" w:w="2266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沪深300样本股</w:t>
            </w:r>
          </w:p>
        </w:tc>
        <w:tc>
          <w:tcPr>
            <w:tcW w:type="dxa" w:w="2266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+1.57%</w:t>
            </w:r>
          </w:p>
        </w:tc>
        <w:tc>
          <w:tcPr>
            <w:tcW w:type="dxa" w:w="2266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75/1158</w:t>
            </w:r>
          </w:p>
        </w:tc>
        <w:tc>
          <w:tcPr>
            <w:tcW w:type="dxa" w:w="2266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244/319</w:t>
            </w:r>
          </w:p>
        </w:tc>
      </w:tr>
      <w:tr>
        <w:tc>
          <w:tcPr>
            <w:tcW w:type="dxa" w:w="2266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工业(A股)</w:t>
            </w:r>
          </w:p>
        </w:tc>
        <w:tc>
          <w:tcPr>
            <w:tcW w:type="dxa" w:w="2266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-2.77%</w:t>
            </w:r>
          </w:p>
        </w:tc>
        <w:tc>
          <w:tcPr>
            <w:tcW w:type="dxa" w:w="2266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779/1158</w:t>
            </w:r>
          </w:p>
        </w:tc>
        <w:tc>
          <w:tcPr>
            <w:tcW w:type="dxa" w:w="2266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297/1209</w:t>
            </w:r>
          </w:p>
        </w:tc>
      </w:tr>
    </w:tbl>
    <w:p/>
    <w:p>
      <w:r>
        <w:rPr>
          <w:rFonts w:ascii="Microsoft YaHei" w:hAnsi="Microsoft YaHei"/>
          <w:b/>
          <w:color w:val="1A1A1A"/>
        </w:rPr>
        <w:t>板块对比：</w:t>
      </w:r>
    </w:p>
    <w:p>
      <w:pPr>
        <w:pStyle w:val="ListBullet"/>
      </w:pPr>
      <w:r>
        <w:rPr>
          <w:rFonts w:ascii="Microsoft YaHei" w:hAnsi="Microsoft YaHei"/>
        </w:rPr>
        <w:t xml:space="preserve">宁波港所属的 </w:t>
      </w:r>
      <w:r>
        <w:rPr>
          <w:rFonts w:ascii="Microsoft YaHei" w:hAnsi="Microsoft YaHei"/>
          <w:b/>
          <w:color w:val="1A1A1A"/>
        </w:rPr>
        <w:t>海港与服务</w:t>
      </w:r>
      <w:r>
        <w:rPr>
          <w:rFonts w:ascii="Microsoft YaHei" w:hAnsi="Microsoft YaHei"/>
        </w:rPr>
        <w:t xml:space="preserve"> 及 </w:t>
      </w:r>
      <w:r>
        <w:rPr>
          <w:rFonts w:ascii="Microsoft YaHei" w:hAnsi="Microsoft YaHei"/>
          <w:b/>
          <w:color w:val="1A1A1A"/>
        </w:rPr>
        <w:t>交通基本设施</w:t>
      </w:r>
      <w:r>
        <w:rPr>
          <w:rFonts w:ascii="Microsoft YaHei" w:hAnsi="Microsoft YaHei"/>
        </w:rPr>
        <w:t xml:space="preserve"> 板块涨幅均跑赢大盘中位数，板块内领涨个股 </w:t>
      </w:r>
      <w:r>
        <w:rPr>
          <w:rFonts w:ascii="Microsoft YaHei" w:hAnsi="Microsoft YaHei"/>
          <w:b/>
          <w:color w:val="1A1A1A"/>
        </w:rPr>
        <w:t>招商港口（+3.18%）</w:t>
      </w:r>
      <w:r>
        <w:rPr>
          <w:rFonts w:ascii="Microsoft YaHei" w:hAnsi="Microsoft YaHei"/>
        </w:rPr>
        <w:t>、</w:t>
      </w:r>
      <w:r>
        <w:rPr>
          <w:rFonts w:ascii="Microsoft YaHei" w:hAnsi="Microsoft YaHei"/>
          <w:b/>
          <w:color w:val="1A1A1A"/>
        </w:rPr>
        <w:t>辽港股份（+2.80%）</w:t>
      </w:r>
      <w:r>
        <w:rPr>
          <w:rFonts w:ascii="Microsoft YaHei" w:hAnsi="Microsoft YaHei"/>
        </w:rPr>
        <w:t xml:space="preserve"> 等表现强劲，板块整体处于 "跟涨不领涨" 状态</w:t>
      </w:r>
    </w:p>
    <w:p>
      <w:pPr>
        <w:pStyle w:val="ListBullet"/>
      </w:pPr>
      <w:r>
        <w:rPr>
          <w:rFonts w:ascii="Microsoft YaHei" w:hAnsi="Microsoft YaHei"/>
        </w:rPr>
        <w:t xml:space="preserve">宁波港 </w:t>
      </w:r>
      <w:r>
        <w:rPr>
          <w:rFonts w:ascii="Microsoft YaHei" w:hAnsi="Microsoft YaHei"/>
          <w:b/>
          <w:color w:val="1A1A1A"/>
        </w:rPr>
        <w:t>+0.58%</w:t>
      </w:r>
      <w:r>
        <w:rPr>
          <w:rFonts w:ascii="Microsoft YaHei" w:hAnsi="Microsoft YaHei"/>
        </w:rPr>
        <w:t xml:space="preserve"> 的涨幅接近板块均值（海港与服务 +0.60%），表现稳健但弹性不足</w:t>
      </w:r>
    </w:p>
    <w:p>
      <w:pPr>
        <w:pStyle w:val="ListBullet"/>
      </w:pPr>
      <w:r>
        <w:rPr>
          <w:rFonts w:ascii="Microsoft YaHei" w:hAnsi="Microsoft YaHei"/>
        </w:rPr>
        <w:t xml:space="preserve">同属港口的 </w:t>
      </w:r>
      <w:r>
        <w:rPr>
          <w:rFonts w:ascii="Microsoft YaHei" w:hAnsi="Microsoft YaHei"/>
          <w:b/>
          <w:color w:val="1A1A1A"/>
        </w:rPr>
        <w:t>唐山港（+2.01%）</w:t>
      </w:r>
      <w:r>
        <w:rPr>
          <w:rFonts w:ascii="Microsoft YaHei" w:hAnsi="Microsoft YaHei"/>
        </w:rPr>
        <w:t>、</w:t>
      </w:r>
      <w:r>
        <w:rPr>
          <w:rFonts w:ascii="Microsoft YaHei" w:hAnsi="Microsoft YaHei"/>
          <w:b/>
          <w:color w:val="1A1A1A"/>
        </w:rPr>
        <w:t>日照港（+1.11%）</w:t>
      </w:r>
      <w:r>
        <w:rPr>
          <w:rFonts w:ascii="Microsoft YaHei" w:hAnsi="Microsoft YaHei"/>
        </w:rPr>
        <w:t xml:space="preserve"> 涨幅领先，宁波港涨幅居中</w:t>
      </w:r>
    </w:p>
    <w:p>
      <w:pPr>
        <w:spacing w:before="240" w:after="240"/>
        <w:pBdr>
          <w:bottom w:val="single" w:sz="4" w:space="1" w:color="D0D7DE"/>
        </w:pBdr>
      </w:pPr>
    </w:p>
    <w:p>
      <w:pPr>
        <w:spacing w:before="360" w:after="80" w:line="288" w:lineRule="auto"/>
        <w:pBdr>
          <w:bottom w:val="single" w:sz="4" w:space="4" w:color="D0D7DE"/>
        </w:pBdr>
      </w:pPr>
      <w:r>
        <w:rPr>
          <w:rFonts w:ascii="Microsoft YaHei" w:hAnsi="Microsoft YaHei"/>
          <w:b/>
          <w:color w:val="1A1A1A"/>
          <w:sz w:val="28"/>
        </w:rPr>
        <w:t>综合研判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维度</w:t>
            </w:r>
          </w:p>
        </w:tc>
        <w:tc>
          <w:tcPr>
            <w:tcW w:type="dxa" w:w="4533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信号</w:t>
            </w:r>
          </w:p>
        </w:tc>
      </w:tr>
      <w:tr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市场情绪</w:t>
            </w:r>
          </w:p>
        </w:tc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✅ 全市人气高涨，赚钱效应佳</w:t>
            </w:r>
          </w:p>
        </w:tc>
      </w:tr>
      <w:tr>
        <w:tc>
          <w:tcPr>
            <w:tcW w:type="dxa" w:w="4533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量价关系</w:t>
            </w:r>
          </w:p>
        </w:tc>
        <w:tc>
          <w:tcPr>
            <w:tcW w:type="dxa" w:w="4533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✅ 放量走强，量比1.35，换手翻倍</w:t>
            </w:r>
          </w:p>
        </w:tc>
      </w:tr>
      <w:tr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资金流向</w:t>
            </w:r>
          </w:p>
        </w:tc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✅ 主力大单连续净流入，盘中净流入5,477万</w:t>
            </w:r>
          </w:p>
        </w:tc>
      </w:tr>
      <w:tr>
        <w:tc>
          <w:tcPr>
            <w:tcW w:type="dxa" w:w="4533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技术形态</w:t>
            </w:r>
          </w:p>
        </w:tc>
        <w:tc>
          <w:tcPr>
            <w:tcW w:type="dxa" w:w="4533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✅ 站上MA5/MA10/MA20，多头排列</w:t>
            </w:r>
          </w:p>
        </w:tc>
      </w:tr>
      <w:tr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估值水平</w:t>
            </w:r>
          </w:p>
        </w:tc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✅ PB 0.83倍破净，估值安全边际高</w:t>
            </w:r>
          </w:p>
        </w:tc>
      </w:tr>
      <w:tr>
        <w:tc>
          <w:tcPr>
            <w:tcW w:type="dxa" w:w="4533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板块协同</w:t>
            </w:r>
          </w:p>
        </w:tc>
        <w:tc>
          <w:tcPr>
            <w:tcW w:type="dxa" w:w="4533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⚠️ 表现稳健但非领涨，弹性有限</w:t>
            </w:r>
          </w:p>
        </w:tc>
      </w:tr>
      <w:tr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地缘消息</w:t>
            </w:r>
          </w:p>
        </w:tc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➡️ 霍尔木兹局势偏利好航运板块，但直接影响有限</w:t>
            </w:r>
          </w:p>
        </w:tc>
      </w:tr>
    </w:tbl>
    <w:p/>
    <w:p>
      <w:r>
        <w:rPr>
          <w:rFonts w:ascii="Microsoft YaHei" w:hAnsi="Microsoft YaHei"/>
          <w:b/>
          <w:color w:val="1A1A1A"/>
        </w:rPr>
        <w:t>午间核心观点：</w:t>
      </w:r>
    </w:p>
    <w:p>
      <w:r>
        <w:rPr>
          <w:rFonts w:ascii="Microsoft YaHei" w:hAnsi="Microsoft YaHei"/>
        </w:rPr>
        <w:t xml:space="preserve">宁波港今日早盘呈现 </w:t>
      </w:r>
      <w:r>
        <w:rPr>
          <w:rFonts w:ascii="Microsoft YaHei" w:hAnsi="Microsoft YaHei"/>
          <w:b/>
          <w:color w:val="1A1A1A"/>
        </w:rPr>
        <w:t>温和放量上行</w:t>
      </w:r>
      <w:r>
        <w:rPr>
          <w:rFonts w:ascii="Microsoft YaHei" w:hAnsi="Microsoft YaHei"/>
        </w:rPr>
        <w:t xml:space="preserve"> 态势，主力资金连续净流入，技术面均线多头排列，估值处于破净低位。在 </w:t>
      </w:r>
      <w:r>
        <w:rPr>
          <w:rFonts w:ascii="Microsoft YaHei" w:hAnsi="Microsoft YaHei"/>
          <w:b/>
          <w:color w:val="1A1A1A"/>
        </w:rPr>
        <w:t>全市大涨</w:t>
      </w:r>
      <w:r>
        <w:rPr>
          <w:rFonts w:ascii="Microsoft YaHei" w:hAnsi="Microsoft YaHei"/>
        </w:rPr>
        <w:t xml:space="preserve"> 的背景下，宁波港走势稳健但弹性相对不足，更多体现为大市值蓝筹的"跟涨"属性。午后关注 </w:t>
      </w:r>
      <w:r>
        <w:rPr>
          <w:rFonts w:ascii="Microsoft YaHei" w:hAnsi="Microsoft YaHei"/>
          <w:b/>
          <w:color w:val="1A1A1A"/>
        </w:rPr>
        <w:t>3.48（布林上轨）</w:t>
      </w:r>
      <w:r>
        <w:rPr>
          <w:rFonts w:ascii="Microsoft YaHei" w:hAnsi="Microsoft YaHei"/>
        </w:rPr>
        <w:t xml:space="preserve"> 的压力位能否突破，若能放量站上，则有望挑战前高；若量能无法持续，短线或围绕 </w:t>
      </w:r>
      <w:r>
        <w:rPr>
          <w:rFonts w:ascii="Microsoft YaHei" w:hAnsi="Microsoft YaHei"/>
          <w:b/>
          <w:color w:val="1A1A1A"/>
        </w:rPr>
        <w:t>3.41~3.45</w:t>
      </w:r>
      <w:r>
        <w:rPr>
          <w:rFonts w:ascii="Microsoft YaHei" w:hAnsi="Microsoft YaHei"/>
        </w:rPr>
        <w:t xml:space="preserve"> 区间整固。</w:t>
      </w:r>
    </w:p>
    <w:p>
      <w:r>
        <w:rPr>
          <w:rFonts w:ascii="Microsoft YaHei" w:hAnsi="Microsoft YaHei"/>
          <w:b/>
          <w:color w:val="1A1A1A"/>
        </w:rPr>
        <w:t>风险提示：</w:t>
      </w:r>
      <w:r>
        <w:rPr>
          <w:rFonts w:ascii="Microsoft YaHei" w:hAnsi="Microsoft YaHei"/>
        </w:rPr>
        <w:t xml:space="preserve"> 地缘政治局势存在不确定性，港口行业受宏观经济和贸易量波动影响较大，投资需注意节奏与仓位管理。</w:t>
      </w:r>
    </w:p>
    <w:p>
      <w:pPr>
        <w:spacing w:before="240" w:after="240"/>
        <w:pBdr>
          <w:bottom w:val="single" w:sz="4" w:space="1" w:color="D0D7DE"/>
        </w:pBdr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134" w:right="1587" w:bottom="1134" w:left="158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999999"/>
        <w:sz w:val="15"/>
      </w:rPr>
      <w:t xml:space="preserve">— </w:t>
      <w:fldChar w:fldCharType="begin"/>
      <w:instrText xml:space="preserve"> PAGE </w:instrText>
      <w:fldChar w:fldCharType="end"/>
    </w:r>
    <w:r>
      <w:rPr>
        <w:color w:val="999999"/>
        <w:sz w:val="15"/>
      </w:rPr>
      <w:t xml:space="preserve"> —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Microsoft YaHei" w:hAnsi="Microsoft YaHei"/>
        <w:color w:val="999999"/>
        <w:sz w:val="15"/>
      </w:rPr>
      <w:t>宁波港  |  数据截止 11:30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120" w:before="0"/>
    </w:pPr>
    <w:rPr>
      <w:rFonts w:ascii="Microsoft YaHei" w:hAnsi="Microsoft YaHei" w:eastAsia="Microsoft YaHei"/>
      <w:color w:val="333333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40"/>
      <w:contextualSpacing/>
    </w:pPr>
    <w:rPr>
      <w:rFonts w:ascii="Microsoft YaHei" w:hAnsi="Microsoft YaHei" w:eastAsia="Microsoft YaHei"/>
      <w:color w:val="333333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40"/>
      <w:contextualSpacing/>
    </w:pPr>
    <w:rPr>
      <w:rFonts w:ascii="Microsoft YaHei" w:hAnsi="Microsoft YaHei" w:eastAsia="Microsoft YaHei"/>
      <w:color w:val="333333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