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宝钢股份（600019.SH）午间分析报告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1.48 万亿元（+1516 亿）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。涨跌分布为 </w:t>
      </w:r>
      <w:r>
        <w:rPr>
          <w:rFonts w:ascii="Microsoft YaHei" w:hAnsi="Microsoft YaHei"/>
          <w:b/>
          <w:color w:val="1A1A1A"/>
        </w:rPr>
        <w:t>上涨 3,431 只 / 下跌 2,000 只</w:t>
      </w:r>
      <w:r>
        <w:rPr>
          <w:rFonts w:ascii="Microsoft YaHei" w:hAnsi="Microsoft YaHei"/>
        </w:rPr>
        <w:t>，涨停 58 只 / 跌停 19 只。市场赚钱效应为 46%，涨停梯队方面，一板 51 只（晋级率 7%）、二板 3 只（晋级率 23%）、三板 3 只（晋级率 33%），高度板仅 1 只，整体市场人气较好，但高位接力意愿偏低。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宝钢股份今日高开高走，开盘价 </w:t>
      </w:r>
      <w:r>
        <w:rPr>
          <w:rFonts w:ascii="Microsoft YaHei" w:hAnsi="Microsoft YaHei"/>
          <w:b/>
          <w:color w:val="1A1A1A"/>
        </w:rPr>
        <w:t>5.76 元</w:t>
      </w:r>
      <w:r>
        <w:rPr>
          <w:rFonts w:ascii="Microsoft YaHei" w:hAnsi="Microsoft YaHei"/>
        </w:rPr>
        <w:t xml:space="preserve">（与昨收持平），盘中震荡上行，午间收于 </w:t>
      </w:r>
      <w:r>
        <w:rPr>
          <w:rFonts w:ascii="Microsoft YaHei" w:hAnsi="Microsoft YaHei"/>
          <w:b/>
          <w:color w:val="1A1A1A"/>
        </w:rPr>
        <w:t>5.89 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 xml:space="preserve">，振幅 </w:t>
      </w:r>
      <w:r>
        <w:rPr>
          <w:rFonts w:ascii="Microsoft YaHei" w:hAnsi="Microsoft YaHei"/>
          <w:b/>
          <w:color w:val="1A1A1A"/>
        </w:rPr>
        <w:t>2.43%</w:t>
      </w:r>
      <w:r>
        <w:rPr>
          <w:rFonts w:ascii="Microsoft YaHei" w:hAnsi="Microsoft YaHei"/>
        </w:rPr>
        <w:t xml:space="preserve">。半日成交量 </w:t>
      </w:r>
      <w:r>
        <w:rPr>
          <w:rFonts w:ascii="Microsoft YaHei" w:hAnsi="Microsoft YaHei"/>
          <w:b/>
          <w:color w:val="1A1A1A"/>
        </w:rPr>
        <w:t>159 万手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9.30 亿元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1.58</w:t>
      </w:r>
      <w:r>
        <w:rPr>
          <w:rFonts w:ascii="Microsoft YaHei" w:hAnsi="Microsoft YaHei"/>
        </w:rPr>
        <w:t>，交投明显活跃。</w:t>
      </w:r>
    </w:p>
    <w:p>
      <w:r>
        <w:rPr>
          <w:rFonts w:ascii="Microsoft YaHei" w:hAnsi="Microsoft YaHei"/>
          <w:b/>
          <w:color w:val="1A1A1A"/>
        </w:rPr>
        <w:t>关键估值指标：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14.42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0.63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1,282.96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1,261.29 亿元</w:t>
            </w:r>
          </w:p>
        </w:tc>
      </w:tr>
    </w:tbl>
    <w:p/>
    <w:p>
      <w:r>
        <w:rPr>
          <w:rFonts w:ascii="Microsoft YaHei" w:hAnsi="Microsoft YaHei"/>
        </w:rPr>
        <w:t xml:space="preserve">PB 仅 </w:t>
      </w:r>
      <w:r>
        <w:rPr>
          <w:rFonts w:ascii="Microsoft YaHei" w:hAnsi="Microsoft YaHei"/>
          <w:b/>
          <w:color w:val="1A1A1A"/>
        </w:rPr>
        <w:t>0.63 倍</w:t>
      </w:r>
      <w:r>
        <w:rPr>
          <w:rFonts w:ascii="Microsoft YaHei" w:hAnsi="Microsoft YaHei"/>
        </w:rPr>
        <w:t>，处于显著破净状态，估值安全边际较高。</w:t>
      </w:r>
    </w:p>
    <w:p>
      <w:r>
        <w:rPr>
          <w:rFonts w:ascii="Microsoft YaHei" w:hAnsi="Microsoft YaHei"/>
          <w:b/>
          <w:color w:val="1A1A1A"/>
        </w:rPr>
        <w:t>内外盘对比：</w:t>
      </w:r>
      <w:r>
        <w:rPr>
          <w:rFonts w:ascii="Microsoft YaHei" w:hAnsi="Microsoft YaHei"/>
        </w:rPr>
        <w:t xml:space="preserve"> 外盘 </w:t>
      </w:r>
      <w:r>
        <w:rPr>
          <w:rFonts w:ascii="Microsoft YaHei" w:hAnsi="Microsoft YaHei"/>
          <w:b/>
          <w:color w:val="1A1A1A"/>
        </w:rPr>
        <w:t>82.14 万手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76.87 万手</w:t>
      </w:r>
      <w:r>
        <w:rPr>
          <w:rFonts w:ascii="Microsoft YaHei" w:hAnsi="Microsoft YaHei"/>
        </w:rPr>
        <w:t>，买盘力量略占优势，主动性买盘多于卖盘。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1.04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2,882.1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459.6 万元</w:t>
            </w:r>
          </w:p>
        </w:tc>
      </w:tr>
    </w:tbl>
    <w:p/>
    <w:p>
      <w:r>
        <w:rPr>
          <w:rFonts w:ascii="Microsoft YaHei" w:hAnsi="Microsoft YaHei"/>
        </w:rPr>
        <w:t xml:space="preserve">资金面呈现 </w:t>
      </w:r>
      <w:r>
        <w:rPr>
          <w:rFonts w:ascii="Microsoft YaHei" w:hAnsi="Microsoft YaHei"/>
          <w:b/>
          <w:color w:val="1A1A1A"/>
        </w:rPr>
        <w:t>净流入格局</w:t>
      </w:r>
      <w:r>
        <w:rPr>
          <w:rFonts w:ascii="Microsoft YaHei" w:hAnsi="Microsoft YaHei"/>
        </w:rPr>
        <w:t>，流入时长显著多于流出时长（72:48），且最大单分钟流入规模（2,882 万元）远超最大单分钟流出（460 万元），说明今日主力资金介入力度较强，盘中资金态度积极。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+89,197,586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132,704,500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43,506,914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+2,408,503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73,052,825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70,644,322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+12,346,973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37,236,521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24,889,548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+103,953,062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上一交易日大单净额 </w:t>
      </w:r>
      <w:r>
        <w:rPr>
          <w:rFonts w:ascii="Microsoft YaHei" w:hAnsi="Microsoft YaHei"/>
          <w:b/>
          <w:color w:val="1A1A1A"/>
        </w:rPr>
        <w:t>+8,920 万元</w:t>
      </w:r>
      <w:r>
        <w:rPr>
          <w:rFonts w:ascii="Microsoft YaHei" w:hAnsi="Microsoft YaHei"/>
        </w:rPr>
        <w:t xml:space="preserve">，加上今日半日净流入 </w:t>
      </w:r>
      <w:r>
        <w:rPr>
          <w:rFonts w:ascii="Microsoft YaHei" w:hAnsi="Microsoft YaHei"/>
          <w:b/>
          <w:color w:val="1A1A1A"/>
        </w:rPr>
        <w:t>1.04 亿元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大资金连续两日呈现净买入</w:t>
      </w:r>
      <w:r>
        <w:rPr>
          <w:rFonts w:ascii="Microsoft YaHei" w:hAnsi="Microsoft YaHei"/>
        </w:rPr>
        <w:t>，流向信号积极。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16.25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-1.08%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0.23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+5.23%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融资余额小幅回落，融券余额略有增加，但规模极小（0.23 亿），对股价影响有限。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5.87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5.76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5.65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5.97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距离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5.33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5.89 元</w:t>
      </w:r>
      <w:r>
        <w:rPr>
          <w:rFonts w:ascii="Microsoft YaHei" w:hAnsi="Microsoft YaHei"/>
        </w:rPr>
        <w:t xml:space="preserve"> 站稳 MA5（5.87）、MA10（5.76）、MA20（5.65）上方，均线系统呈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。股价距布林带上轨 </w:t>
      </w:r>
      <w:r>
        <w:rPr>
          <w:rFonts w:ascii="Microsoft YaHei" w:hAnsi="Microsoft YaHei"/>
          <w:b/>
          <w:color w:val="1A1A1A"/>
        </w:rPr>
        <w:t>5.97 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1.4%</w:t>
      </w:r>
      <w:r>
        <w:rPr>
          <w:rFonts w:ascii="Microsoft YaHei" w:hAnsi="Microsoft YaHei"/>
        </w:rPr>
        <w:t>，短期若继续上攻将面临上轨压力。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量价关系</w:t>
      </w:r>
    </w:p>
    <w:p>
      <w:r>
        <w:rPr>
          <w:rFonts w:ascii="Microsoft YaHei" w:hAnsi="Microsoft YaHei"/>
        </w:rPr>
        <w:t xml:space="preserve">今日半日换手率 </w:t>
      </w:r>
      <w:r>
        <w:rPr>
          <w:rFonts w:ascii="Microsoft YaHei" w:hAnsi="Microsoft YaHei"/>
          <w:b/>
          <w:color w:val="1A1A1A"/>
        </w:rPr>
        <w:t>0.74%</w:t>
      </w:r>
      <w:r>
        <w:rPr>
          <w:rFonts w:ascii="Microsoft YaHei" w:hAnsi="Microsoft YaHei"/>
        </w:rPr>
        <w:t xml:space="preserve">，为上一交易日全日换手率 </w:t>
      </w:r>
      <w:r>
        <w:rPr>
          <w:rFonts w:ascii="Microsoft YaHei" w:hAnsi="Microsoft YaHei"/>
          <w:b/>
          <w:color w:val="1A1A1A"/>
        </w:rPr>
        <w:t>0.4263%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1.74 倍</w:t>
      </w:r>
      <w:r>
        <w:rPr>
          <w:rFonts w:ascii="Microsoft YaHei" w:hAnsi="Microsoft YaHei"/>
        </w:rPr>
        <w:t xml:space="preserve">，呈现 </w:t>
      </w:r>
      <w:r>
        <w:rPr>
          <w:rFonts w:ascii="Microsoft YaHei" w:hAnsi="Microsoft YaHei"/>
          <w:b/>
          <w:color w:val="1A1A1A"/>
        </w:rPr>
        <w:t>明显放量上涨</w:t>
      </w:r>
      <w:r>
        <w:rPr>
          <w:rFonts w:ascii="Microsoft YaHei" w:hAnsi="Microsoft YaHei"/>
        </w:rPr>
        <w:t>格局，量价配合良好，多头动能充足。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板块内涨跌比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钢铁(A股)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8/48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涨23/跌21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特钢概念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9/42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涨21/跌18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167/319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涨255/跌63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103/197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涨163/跌33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金属与采矿(A股)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-2.03%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33/204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涨70/跌130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钢铁板块</w:t>
      </w:r>
      <w:r>
        <w:rPr>
          <w:rFonts w:ascii="Microsoft YaHei" w:hAnsi="Microsoft YaHei"/>
        </w:rPr>
        <w:t xml:space="preserve">整体表现分化（涨23/跌21，板块微跌0.68%），宝钢股份在 48 只钢铁股中排名 </w:t>
      </w:r>
      <w:r>
        <w:rPr>
          <w:rFonts w:ascii="Microsoft YaHei" w:hAnsi="Microsoft YaHei"/>
          <w:b/>
          <w:color w:val="1A1A1A"/>
        </w:rPr>
        <w:t>第 8</w:t>
      </w:r>
      <w:r>
        <w:rPr>
          <w:rFonts w:ascii="Microsoft YaHei" w:hAnsi="Microsoft YaHei"/>
        </w:rPr>
        <w:t xml:space="preserve">，跑赢板块多数个股。钢铁板块领涨龙头为 </w:t>
      </w:r>
      <w:r>
        <w:rPr>
          <w:rFonts w:ascii="Microsoft YaHei" w:hAnsi="Microsoft YaHei"/>
          <w:b/>
          <w:color w:val="1A1A1A"/>
        </w:rPr>
        <w:t>杭钢股份（+10.07%）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中信特钢（+3.51%）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马钢股份（+2.88%）</w:t>
      </w:r>
      <w:r>
        <w:rPr>
          <w:rFonts w:ascii="Microsoft YaHei" w:hAnsi="Microsoft YaHei"/>
        </w:rPr>
        <w:t xml:space="preserve">，宝钢以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 xml:space="preserve"> 的涨幅紧随其后。在 </w:t>
      </w:r>
      <w:r>
        <w:rPr>
          <w:rFonts w:ascii="Microsoft YaHei" w:hAnsi="Microsoft YaHei"/>
          <w:b/>
          <w:color w:val="1A1A1A"/>
        </w:rPr>
        <w:t>沪深300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上证180</w:t>
      </w:r>
      <w:r>
        <w:rPr>
          <w:rFonts w:ascii="Microsoft YaHei" w:hAnsi="Microsoft YaHei"/>
        </w:rPr>
        <w:t xml:space="preserve"> 两大权重板块中，宝钢排名均处于中上游水平，说明今日钢铁龙头品种获得了一定的权重资金关注。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主力观点：多头占优，积极看多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：半日涨幅 </w:t>
      </w:r>
      <w:r>
        <w:rPr>
          <w:rFonts w:ascii="Microsoft YaHei" w:hAnsi="Microsoft YaHei"/>
          <w:b/>
          <w:color w:val="1A1A1A"/>
        </w:rPr>
        <w:t>2.26%</w:t>
      </w:r>
      <w:r>
        <w:rPr>
          <w:rFonts w:ascii="Microsoft YaHei" w:hAnsi="Microsoft YaHei"/>
        </w:rPr>
        <w:t xml:space="preserve"> 伴随量比 </w:t>
      </w:r>
      <w:r>
        <w:rPr>
          <w:rFonts w:ascii="Microsoft YaHei" w:hAnsi="Microsoft YaHei"/>
          <w:b/>
          <w:color w:val="1A1A1A"/>
        </w:rPr>
        <w:t>1.58</w:t>
      </w:r>
      <w:r>
        <w:rPr>
          <w:rFonts w:ascii="Microsoft YaHei" w:hAnsi="Microsoft YaHei"/>
        </w:rPr>
        <w:t xml:space="preserve">，换手率是昨日的 </w:t>
      </w:r>
      <w:r>
        <w:rPr>
          <w:rFonts w:ascii="Microsoft YaHei" w:hAnsi="Microsoft YaHei"/>
          <w:b/>
          <w:color w:val="1A1A1A"/>
        </w:rPr>
        <w:t>1.74 倍</w:t>
      </w:r>
      <w:r>
        <w:rPr>
          <w:rFonts w:ascii="Microsoft YaHei" w:hAnsi="Microsoft YaHei"/>
        </w:rPr>
        <w:t>，属于典型的放量上攻形态，多头动能充沛。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资金持续净流入</w:t>
      </w:r>
      <w:r>
        <w:rPr>
          <w:rFonts w:ascii="Microsoft YaHei" w:hAnsi="Microsoft YaHei"/>
        </w:rPr>
        <w:t xml:space="preserve">：今日半日净流入 </w:t>
      </w:r>
      <w:r>
        <w:rPr>
          <w:rFonts w:ascii="Microsoft YaHei" w:hAnsi="Microsoft YaHei"/>
          <w:b/>
          <w:color w:val="1A1A1A"/>
        </w:rPr>
        <w:t>1.04 亿元</w:t>
      </w:r>
      <w:r>
        <w:rPr>
          <w:rFonts w:ascii="Microsoft YaHei" w:hAnsi="Microsoft YaHei"/>
        </w:rPr>
        <w:t xml:space="preserve">，叠加昨日大单净流入 </w:t>
      </w:r>
      <w:r>
        <w:rPr>
          <w:rFonts w:ascii="Microsoft YaHei" w:hAnsi="Microsoft YaHei"/>
          <w:b/>
          <w:color w:val="1A1A1A"/>
        </w:rPr>
        <w:t>8,920 万元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连续两日有大资金主动买入</w:t>
      </w:r>
      <w:r>
        <w:rPr>
          <w:rFonts w:ascii="Microsoft YaHei" w:hAnsi="Microsoft YaHei"/>
        </w:rPr>
        <w:t>，且盘中资金流入时长显著多于流出时长（72:48），最大单分钟流入规模远超流出，资金态度明确偏多。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技术形态偏强</w:t>
      </w:r>
      <w:r>
        <w:rPr>
          <w:rFonts w:ascii="Microsoft YaHei" w:hAnsi="Microsoft YaHei"/>
        </w:rPr>
        <w:t xml:space="preserve">：股价站稳 MA5/MA10/MA20 上方，均线系统多头排列，短中期趋势向好。当前距布林带上轨（5.97 元）仅 </w:t>
      </w:r>
      <w:r>
        <w:rPr>
          <w:rFonts w:ascii="Microsoft YaHei" w:hAnsi="Microsoft YaHei"/>
          <w:b/>
          <w:color w:val="1A1A1A"/>
        </w:rPr>
        <w:t>1.4%</w:t>
      </w:r>
      <w:r>
        <w:rPr>
          <w:rFonts w:ascii="Microsoft YaHei" w:hAnsi="Microsoft YaHei"/>
        </w:rPr>
        <w:t>，短期关注该位置能否有效突破。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估值具备安全垫</w:t>
      </w:r>
      <w:r>
        <w:rPr>
          <w:rFonts w:ascii="Microsoft YaHei" w:hAnsi="Microsoft YaHei"/>
        </w:rPr>
        <w:t xml:space="preserve">：PB 仅 </w:t>
      </w:r>
      <w:r>
        <w:rPr>
          <w:rFonts w:ascii="Microsoft YaHei" w:hAnsi="Microsoft YaHei"/>
          <w:b/>
          <w:color w:val="1A1A1A"/>
        </w:rPr>
        <w:t>0.63 倍</w:t>
      </w:r>
      <w:r>
        <w:rPr>
          <w:rFonts w:ascii="Microsoft YaHei" w:hAnsi="Microsoft YaHei"/>
        </w:rPr>
        <w:t xml:space="preserve">，处于深度破净区间，动态 PE 约 </w:t>
      </w:r>
      <w:r>
        <w:rPr>
          <w:rFonts w:ascii="Microsoft YaHei" w:hAnsi="Microsoft YaHei"/>
          <w:b/>
          <w:color w:val="1A1A1A"/>
        </w:rPr>
        <w:t>14.42 倍</w:t>
      </w:r>
      <w:r>
        <w:rPr>
          <w:rFonts w:ascii="Microsoft YaHei" w:hAnsi="Microsoft YaHei"/>
        </w:rPr>
        <w:t>，在钢铁行业中处于合理偏低水平，下行风险有限。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板块联动积极</w:t>
      </w:r>
      <w:r>
        <w:rPr>
          <w:rFonts w:ascii="Microsoft YaHei" w:hAnsi="Microsoft YaHei"/>
        </w:rPr>
        <w:t xml:space="preserve">：钢铁板块内有杭钢股份涨停（+10.07%）带动人气，宝钢作为行业龙头（总市值 </w:t>
      </w:r>
      <w:r>
        <w:rPr>
          <w:rFonts w:ascii="Microsoft YaHei" w:hAnsi="Microsoft YaHei"/>
          <w:b/>
          <w:color w:val="1A1A1A"/>
        </w:rPr>
        <w:t>1,283 亿</w:t>
      </w:r>
      <w:r>
        <w:rPr>
          <w:rFonts w:ascii="Microsoft YaHei" w:hAnsi="Microsoft YaHei"/>
        </w:rPr>
        <w:t xml:space="preserve">）跟涨 </w:t>
      </w:r>
      <w:r>
        <w:rPr>
          <w:rFonts w:ascii="Microsoft YaHei" w:hAnsi="Microsoft YaHei"/>
          <w:b/>
          <w:color w:val="1A1A1A"/>
        </w:rPr>
        <w:t>2.26%</w:t>
      </w:r>
      <w:r>
        <w:rPr>
          <w:rFonts w:ascii="Microsoft YaHei" w:hAnsi="Microsoft YaHei"/>
        </w:rPr>
        <w:t>，在板块内排名第 8，具备进一步补涨空间。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：布林带上轨（5.97 元）存在技术压力；融资余额较前日小幅回落 1.08%，短线追高仍需谨慎。投资有风险，以上分析仅供参考。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宝钢股份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