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峨眉山A（000888.SZ）午间分析报告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今日全市场情绪高涨，成交额达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（较前一交易日放大 </w:t>
      </w:r>
      <w:r>
        <w:rPr>
          <w:rFonts w:ascii="Microsoft YaHei" w:hAnsi="Microsoft YaHei"/>
          <w:b/>
          <w:color w:val="1A1A1A"/>
        </w:rPr>
        <w:t>+2960亿</w:t>
      </w:r>
      <w:r>
        <w:rPr>
          <w:rFonts w:ascii="Microsoft YaHei" w:hAnsi="Microsoft YaHei"/>
        </w:rPr>
        <w:t xml:space="preserve">），上涨占比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，涨停个股 </w:t>
      </w:r>
      <w:r>
        <w:rPr>
          <w:rFonts w:ascii="Microsoft YaHei" w:hAnsi="Microsoft YaHei"/>
          <w:b/>
          <w:color w:val="1A1A1A"/>
        </w:rPr>
        <w:t>76只</w:t>
      </w:r>
      <w:r>
        <w:rPr>
          <w:rFonts w:ascii="Microsoft YaHei" w:hAnsi="Microsoft YaHei"/>
        </w:rPr>
        <w:t xml:space="preserve">，市场热度指数为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>。然而，峨眉山A表现明显弱于大盘，在大盘普涨格局下逆势收跌。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当前价/昨收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9.44</w:t>
            </w:r>
            <w:r>
              <w:rPr>
                <w:rFonts w:ascii="Microsoft YaHei" w:hAnsi="Microsoft YaHei"/>
                <w:sz w:val="18"/>
              </w:rPr>
              <w:t xml:space="preserve"> / 9.52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-0.84%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9.53 / 9.64 / 9.31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9,795万元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1.97%</w:t>
            </w:r>
            <w:r>
              <w:rPr>
                <w:rFonts w:ascii="Microsoft YaHei" w:hAnsi="Microsoft YaHei"/>
                <w:sz w:val="18"/>
              </w:rPr>
              <w:t>（量比 0.8）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3.47%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21.0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1.88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49.74亿元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核心观察：</w:t>
      </w:r>
    </w:p>
    <w:p>
      <w:pPr>
        <w:pStyle w:val="ListBullet"/>
      </w:pPr>
      <w:r>
        <w:rPr>
          <w:rFonts w:ascii="Microsoft YaHei" w:hAnsi="Microsoft YaHei"/>
        </w:rPr>
        <w:t xml:space="preserve">低开于9.53后短暂冲高至 </w:t>
      </w:r>
      <w:r>
        <w:rPr>
          <w:rFonts w:ascii="Microsoft YaHei" w:hAnsi="Microsoft YaHei"/>
          <w:b/>
          <w:color w:val="1A1A1A"/>
        </w:rPr>
        <w:t>9.64</w:t>
      </w:r>
      <w:r>
        <w:rPr>
          <w:rFonts w:ascii="Microsoft YaHei" w:hAnsi="Microsoft YaHei"/>
        </w:rPr>
        <w:t xml:space="preserve">，随后震荡回落，最低触及 </w:t>
      </w:r>
      <w:r>
        <w:rPr>
          <w:rFonts w:ascii="Microsoft YaHei" w:hAnsi="Microsoft YaHei"/>
          <w:b/>
          <w:color w:val="1A1A1A"/>
        </w:rPr>
        <w:t>9.31</w:t>
      </w:r>
      <w:r>
        <w:rPr>
          <w:rFonts w:ascii="Microsoft YaHei" w:hAnsi="Microsoft YaHei"/>
        </w:rPr>
        <w:t xml:space="preserve">，收盘报 </w:t>
      </w:r>
      <w:r>
        <w:rPr>
          <w:rFonts w:ascii="Microsoft YaHei" w:hAnsi="Microsoft YaHei"/>
          <w:b/>
          <w:color w:val="1A1A1A"/>
        </w:rPr>
        <w:t>9.44</w:t>
      </w:r>
      <w:r>
        <w:rPr>
          <w:rFonts w:ascii="Microsoft YaHei" w:hAnsi="Microsoft YaHei"/>
        </w:rPr>
        <w:t>，全天走出冲高回落走势。</w:t>
      </w:r>
    </w:p>
    <w:p>
      <w:pPr>
        <w:pStyle w:val="ListBullet"/>
      </w:pPr>
      <w:r>
        <w:rPr>
          <w:rFonts w:ascii="Microsoft YaHei" w:hAnsi="Microsoft YaHei"/>
        </w:rPr>
        <w:t>内外盘结构偏弱：</w:t>
      </w:r>
      <w:r>
        <w:rPr>
          <w:rFonts w:ascii="Microsoft YaHei" w:hAnsi="Microsoft YaHei"/>
          <w:b/>
          <w:color w:val="1A1A1A"/>
        </w:rPr>
        <w:t>内盘 56,948手 &gt; 外盘 46,659手</w:t>
      </w:r>
      <w:r>
        <w:rPr>
          <w:rFonts w:ascii="Microsoft YaHei" w:hAnsi="Microsoft YaHei"/>
        </w:rPr>
        <w:t xml:space="preserve">，内盘占比约 </w:t>
      </w:r>
      <w:r>
        <w:rPr>
          <w:rFonts w:ascii="Microsoft YaHei" w:hAnsi="Microsoft YaHei"/>
          <w:b/>
          <w:color w:val="1A1A1A"/>
        </w:rPr>
        <w:t>55%</w:t>
      </w:r>
      <w:r>
        <w:rPr>
          <w:rFonts w:ascii="Microsoft YaHei" w:hAnsi="Microsoft YaHei"/>
        </w:rPr>
        <w:t>，说明主动性卖盘多于买盘，抛压较重。</w:t>
      </w:r>
    </w:p>
    <w:p>
      <w:pPr>
        <w:pStyle w:val="ListBullet"/>
      </w:pPr>
      <w:r>
        <w:rPr>
          <w:rFonts w:ascii="Microsoft YaHei" w:hAnsi="Microsoft YaHei"/>
        </w:rPr>
        <w:t>换手率1.97%、量比0.8，成交量较近期均值有所缩量，市场交投活跃度下降。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今日午间资金流向（逐分钟统计）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+269.50万元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流入/流出分钟数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95分钟 / 110分钟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102.5万元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174.1万元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+215.57万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598.17万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382.60万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+200.02万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1,973.74万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1,773.72万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-138.67万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537.26万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675.94万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+276.92万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融资融券（上一个交易日）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1.68亿元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-1.88%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0.00亿元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+100.29%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资金解读：</w:t>
      </w:r>
    </w:p>
    <w:p>
      <w:pPr>
        <w:pStyle w:val="ListBullet"/>
      </w:pPr>
      <w:r>
        <w:rPr>
          <w:rFonts w:ascii="Microsoft YaHei" w:hAnsi="Microsoft YaHei"/>
        </w:rPr>
        <w:t xml:space="preserve">今日午间虽有 </w:t>
      </w:r>
      <w:r>
        <w:rPr>
          <w:rFonts w:ascii="Microsoft YaHei" w:hAnsi="Microsoft YaHei"/>
          <w:b/>
          <w:color w:val="1A1A1A"/>
        </w:rPr>
        <w:t>269.5万元</w:t>
      </w:r>
      <w:r>
        <w:rPr>
          <w:rFonts w:ascii="Microsoft YaHei" w:hAnsi="Microsoft YaHei"/>
        </w:rPr>
        <w:t xml:space="preserve"> 净流入，但</w:t>
      </w:r>
      <w:r>
        <w:rPr>
          <w:rFonts w:ascii="Microsoft YaHei" w:hAnsi="Microsoft YaHei"/>
          <w:b/>
          <w:color w:val="1A1A1A"/>
        </w:rPr>
        <w:t>流入时间（95分钟）显著少于流出时间（110分钟）</w:t>
      </w:r>
      <w:r>
        <w:rPr>
          <w:rFonts w:ascii="Microsoft YaHei" w:hAnsi="Microsoft YaHei"/>
        </w:rPr>
        <w:t>，且</w:t>
      </w:r>
      <w:r>
        <w:rPr>
          <w:rFonts w:ascii="Microsoft YaHei" w:hAnsi="Microsoft YaHei"/>
          <w:b/>
          <w:color w:val="1A1A1A"/>
        </w:rPr>
        <w:t>最大单分钟流出（174.1万）大于最大单分钟流入（102.5万）</w:t>
      </w:r>
      <w:r>
        <w:rPr>
          <w:rFonts w:ascii="Microsoft YaHei" w:hAnsi="Microsoft YaHei"/>
        </w:rPr>
        <w:t>，说明盘中存在间歇性的大单抛压。</w:t>
      </w:r>
    </w:p>
    <w:p>
      <w:pPr>
        <w:pStyle w:val="ListBullet"/>
      </w:pPr>
      <w:r>
        <w:rPr>
          <w:rFonts w:ascii="Microsoft YaHei" w:hAnsi="Microsoft YaHei"/>
        </w:rPr>
        <w:t xml:space="preserve">上一个交易日大单净流入 </w:t>
      </w:r>
      <w:r>
        <w:rPr>
          <w:rFonts w:ascii="Microsoft YaHei" w:hAnsi="Microsoft YaHei"/>
          <w:b/>
          <w:color w:val="1A1A1A"/>
        </w:rPr>
        <w:t>+215.57万元</w:t>
      </w:r>
      <w:r>
        <w:rPr>
          <w:rFonts w:ascii="Microsoft YaHei" w:hAnsi="Microsoft YaHei"/>
        </w:rPr>
        <w:t xml:space="preserve">，中单净流入 </w:t>
      </w:r>
      <w:r>
        <w:rPr>
          <w:rFonts w:ascii="Microsoft YaHei" w:hAnsi="Microsoft YaHei"/>
          <w:b/>
          <w:color w:val="1A1A1A"/>
        </w:rPr>
        <w:t>+200.02万元</w:t>
      </w:r>
      <w:r>
        <w:rPr>
          <w:rFonts w:ascii="Microsoft YaHei" w:hAnsi="Microsoft YaHei"/>
        </w:rPr>
        <w:t xml:space="preserve">，小单净流出 </w:t>
      </w:r>
      <w:r>
        <w:rPr>
          <w:rFonts w:ascii="Microsoft YaHei" w:hAnsi="Microsoft YaHei"/>
          <w:b/>
          <w:color w:val="1A1A1A"/>
        </w:rPr>
        <w:t>-138.67万元</w:t>
      </w:r>
      <w:r>
        <w:rPr>
          <w:rFonts w:ascii="Microsoft YaHei" w:hAnsi="Microsoft YaHei"/>
        </w:rPr>
        <w:t>，机构资金呈温和回补态势。</w:t>
      </w:r>
    </w:p>
    <w:p>
      <w:pPr>
        <w:pStyle w:val="ListBullet"/>
      </w:pPr>
      <w:r>
        <w:rPr>
          <w:rFonts w:ascii="Microsoft YaHei" w:hAnsi="Microsoft YaHei"/>
        </w:rPr>
        <w:t xml:space="preserve">融资余额 </w:t>
      </w:r>
      <w:r>
        <w:rPr>
          <w:rFonts w:ascii="Microsoft YaHei" w:hAnsi="Microsoft YaHei"/>
          <w:b/>
          <w:color w:val="1A1A1A"/>
        </w:rPr>
        <w:t>下降1.88%</w:t>
      </w:r>
      <w:r>
        <w:rPr>
          <w:rFonts w:ascii="Microsoft YaHei" w:hAnsi="Microsoft YaHei"/>
        </w:rPr>
        <w:t>，融资盘在主动减仓，投资者加杠杆意愿不足。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9.44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9.72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布林带中轨（估算）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9.20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8.68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与上轨偏离度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-2.88%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与中轨偏离度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+2.61%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9.44</w:t>
      </w:r>
      <w:r>
        <w:rPr>
          <w:rFonts w:ascii="Microsoft YaHei" w:hAnsi="Microsoft YaHei"/>
        </w:rPr>
        <w:t xml:space="preserve"> 位于布林带中轨（约9.20）与上轨（9.72）之间，处于</w:t>
      </w:r>
      <w:r>
        <w:rPr>
          <w:rFonts w:ascii="Microsoft YaHei" w:hAnsi="Microsoft YaHei"/>
          <w:b/>
          <w:color w:val="1A1A1A"/>
        </w:rPr>
        <w:t>中轨上方</w:t>
      </w:r>
      <w:r>
        <w:rPr>
          <w:rFonts w:ascii="Microsoft YaHei" w:hAnsi="Microsoft YaHei"/>
        </w:rPr>
        <w:t xml:space="preserve">的偏强区域，但较昨日收盘价 </w:t>
      </w:r>
      <w:r>
        <w:rPr>
          <w:rFonts w:ascii="Microsoft YaHei" w:hAnsi="Microsoft YaHei"/>
          <w:b/>
          <w:color w:val="1A1A1A"/>
        </w:rPr>
        <w:t>9.52</w:t>
      </w:r>
      <w:r>
        <w:rPr>
          <w:rFonts w:ascii="Microsoft YaHei" w:hAnsi="Microsoft YaHei"/>
        </w:rPr>
        <w:t xml:space="preserve"> 已回落，短期上行动能减弱。</w:t>
      </w:r>
    </w:p>
    <w:p>
      <w:pPr>
        <w:pStyle w:val="ListBullet"/>
      </w:pPr>
      <w:r>
        <w:rPr>
          <w:rFonts w:ascii="Microsoft YaHei" w:hAnsi="Microsoft YaHei"/>
        </w:rPr>
        <w:t xml:space="preserve">今日盘中最高触及 </w:t>
      </w:r>
      <w:r>
        <w:rPr>
          <w:rFonts w:ascii="Microsoft YaHei" w:hAnsi="Microsoft YaHei"/>
          <w:b/>
          <w:color w:val="1A1A1A"/>
        </w:rPr>
        <w:t>9.64</w:t>
      </w:r>
      <w:r>
        <w:rPr>
          <w:rFonts w:ascii="Microsoft YaHei" w:hAnsi="Microsoft YaHei"/>
        </w:rPr>
        <w:t>（接近布林上轨9.72），随后回落，说明上轨附近存在明显压力。</w:t>
      </w:r>
    </w:p>
    <w:p>
      <w:pPr>
        <w:pStyle w:val="ListBullet"/>
      </w:pPr>
      <w:r>
        <w:rPr>
          <w:rFonts w:ascii="Microsoft YaHei" w:hAnsi="Microsoft YaHei"/>
        </w:rPr>
        <w:t xml:space="preserve">最低探至 </w:t>
      </w:r>
      <w:r>
        <w:rPr>
          <w:rFonts w:ascii="Microsoft YaHei" w:hAnsi="Microsoft YaHei"/>
          <w:b/>
          <w:color w:val="1A1A1A"/>
        </w:rPr>
        <w:t>9.31</w:t>
      </w:r>
      <w:r>
        <w:rPr>
          <w:rFonts w:ascii="Microsoft YaHei" w:hAnsi="Microsoft YaHei"/>
        </w:rPr>
        <w:t xml:space="preserve">，距离中轨约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>，下方支撑尚可，但若继续走弱，中轨9.20一线将是关键支撑位。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  <w:b/>
          <w:color w:val="1A1A1A"/>
        </w:rPr>
        <w:t>注：</w:t>
      </w:r>
      <w:r>
        <w:rPr>
          <w:rFonts w:ascii="Microsoft YaHei" w:hAnsi="Microsoft YaHei"/>
        </w:rPr>
        <w:t xml:space="preserve"> 当日相关新闻、公告及互动问答接口均未获取到有效信息，本报告基于盘面数据与资金面进行独立研判。</w:t>
      </w:r>
    </w:p>
    <w:p>
      <w:r>
        <w:rPr>
          <w:rFonts w:ascii="Microsoft YaHei" w:hAnsi="Microsoft YaHei"/>
        </w:rPr>
        <w:t>峨眉山A所属的</w:t>
      </w:r>
      <w:r>
        <w:rPr>
          <w:rFonts w:ascii="Microsoft YaHei" w:hAnsi="Microsoft YaHei"/>
          <w:b/>
          <w:color w:val="1A1A1A"/>
        </w:rPr>
        <w:t>旅游、休闲服务</w:t>
      </w:r>
      <w:r>
        <w:rPr>
          <w:rFonts w:ascii="Microsoft YaHei" w:hAnsi="Microsoft YaHei"/>
        </w:rPr>
        <w:t>板块今日未出现在热点板块涨幅前列。与之关联度较低的教育板块（+1.61%）受《教育发展"十五五"规划》政策刺激有所表现，但对峨眉山A的传导效应较弱。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评级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大盘氛围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市场人气高涨，普涨格局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★★★★★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个股相对表现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逆势下跌-0.84%，弱于大盘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★★☆☆☆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机构资金温和流入，但融资盘减仓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★★★☆☆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中轨上方运行，但上轨压力明显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★★★☆☆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量价配合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缩量调整，量比0.8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★★☆☆☆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 xml:space="preserve">峨眉山A今日在大盘强势上涨超80%个股的背景下逆势收跌 </w:t>
      </w:r>
      <w:r>
        <w:rPr>
          <w:rFonts w:ascii="Microsoft YaHei" w:hAnsi="Microsoft YaHei"/>
          <w:b/>
          <w:color w:val="1A1A1A"/>
        </w:rPr>
        <w:t>-0.84%</w:t>
      </w:r>
      <w:r>
        <w:rPr>
          <w:rFonts w:ascii="Microsoft YaHei" w:hAnsi="Microsoft YaHei"/>
        </w:rPr>
        <w:t>，呈现出明显的</w:t>
      </w:r>
      <w:r>
        <w:rPr>
          <w:rFonts w:ascii="Microsoft YaHei" w:hAnsi="Microsoft YaHei"/>
          <w:b/>
          <w:color w:val="1A1A1A"/>
        </w:rPr>
        <w:t>逆势弱势特征</w:t>
      </w:r>
      <w:r>
        <w:rPr>
          <w:rFonts w:ascii="Microsoft YaHei" w:hAnsi="Microsoft YaHei"/>
        </w:rPr>
        <w:t xml:space="preserve">。尽管上一个交易日大单及中单资金合计净流入约 </w:t>
      </w:r>
      <w:r>
        <w:rPr>
          <w:rFonts w:ascii="Microsoft YaHei" w:hAnsi="Microsoft YaHei"/>
          <w:b/>
          <w:color w:val="1A1A1A"/>
        </w:rPr>
        <w:t>277万元</w:t>
      </w:r>
      <w:r>
        <w:rPr>
          <w:rFonts w:ascii="Microsoft YaHei" w:hAnsi="Microsoft YaHei"/>
        </w:rPr>
        <w:t xml:space="preserve">，且今日午间小幅净流入 </w:t>
      </w:r>
      <w:r>
        <w:rPr>
          <w:rFonts w:ascii="Microsoft YaHei" w:hAnsi="Microsoft YaHei"/>
          <w:b/>
          <w:color w:val="1A1A1A"/>
        </w:rPr>
        <w:t>269.5万元</w:t>
      </w:r>
      <w:r>
        <w:rPr>
          <w:rFonts w:ascii="Microsoft YaHei" w:hAnsi="Microsoft YaHei"/>
        </w:rPr>
        <w:t>，但盘中内盘大于外盘、融资余额持续下降、成交量缩量的组合信号表明，</w:t>
      </w:r>
      <w:r>
        <w:rPr>
          <w:rFonts w:ascii="Microsoft YaHei" w:hAnsi="Microsoft YaHei"/>
          <w:b/>
          <w:color w:val="1A1A1A"/>
        </w:rPr>
        <w:t>短期市场抛压仍占主导</w:t>
      </w:r>
      <w:r>
        <w:rPr>
          <w:rFonts w:ascii="Microsoft YaHei" w:hAnsi="Microsoft YaHei"/>
        </w:rPr>
        <w:t xml:space="preserve">。技术面上，股价回落至布林带中轨与上轨之间，上轨 </w:t>
      </w:r>
      <w:r>
        <w:rPr>
          <w:rFonts w:ascii="Microsoft YaHei" w:hAnsi="Microsoft YaHei"/>
          <w:b/>
          <w:color w:val="1A1A1A"/>
        </w:rPr>
        <w:t>9.72</w:t>
      </w:r>
      <w:r>
        <w:rPr>
          <w:rFonts w:ascii="Microsoft YaHei" w:hAnsi="Microsoft YaHei"/>
        </w:rPr>
        <w:t xml:space="preserve"> 构成短期强阻力，下方中轨 </w:t>
      </w:r>
      <w:r>
        <w:rPr>
          <w:rFonts w:ascii="Microsoft YaHei" w:hAnsi="Microsoft YaHei"/>
          <w:b/>
          <w:color w:val="1A1A1A"/>
        </w:rPr>
        <w:t>9.20</w:t>
      </w:r>
      <w:r>
        <w:rPr>
          <w:rFonts w:ascii="Microsoft YaHei" w:hAnsi="Microsoft YaHei"/>
        </w:rPr>
        <w:t xml:space="preserve"> 为关键支撑。建议投资者关注午后资金流向是否能由净流出转为连续性净流入，以及股价能否站稳 </w:t>
      </w:r>
      <w:r>
        <w:rPr>
          <w:rFonts w:ascii="Microsoft YaHei" w:hAnsi="Microsoft YaHei"/>
          <w:b/>
          <w:color w:val="1A1A1A"/>
        </w:rPr>
        <w:t>9.44</w:t>
      </w:r>
      <w:r>
        <w:rPr>
          <w:rFonts w:ascii="Microsoft YaHei" w:hAnsi="Microsoft YaHei"/>
        </w:rPr>
        <w:t xml:space="preserve"> 上方，否则需警惕进一步向中轨支撑位回踩的风险。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以上分析基于当前盘面数据，不构成投资建议。个股短期波动受多重因素影响，投资有风险，入市需谨慎。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峨眉山A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