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泸州老窖（000568.SZ）午间分析报告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今日市场呈现探底回升走势，三大指数全线翻红。午后开盘前，创业板指涨逾1%，泛消费板块领涨，沪深京三市上涨个股近 </w:t>
      </w:r>
      <w:r>
        <w:rPr>
          <w:rFonts w:ascii="Microsoft YaHei" w:hAnsi="Microsoft YaHei"/>
          <w:b/>
          <w:color w:val="1A1A1A"/>
        </w:rPr>
        <w:t>4000只</w:t>
      </w:r>
      <w:r>
        <w:rPr>
          <w:rFonts w:ascii="Microsoft YaHei" w:hAnsi="Microsoft YaHei"/>
        </w:rPr>
        <w:t xml:space="preserve">。市场人气较好，热度评分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，全市场上涨占比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，涨停58只。食品饮料板块涨幅达 </w:t>
      </w:r>
      <w:r>
        <w:rPr>
          <w:rFonts w:ascii="Microsoft YaHei" w:hAnsi="Microsoft YaHei"/>
          <w:b/>
          <w:color w:val="1A1A1A"/>
        </w:rPr>
        <w:t>+2.53%</w:t>
      </w:r>
      <w:r>
        <w:rPr>
          <w:rFonts w:ascii="Microsoft YaHei" w:hAnsi="Microsoft YaHei"/>
        </w:rPr>
        <w:t>，成为今日核心主线之一，驱动逻辑来自中信建投关于原奶周期向好、龙头液奶竞争格局改善的研报催化。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87.68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较昨收大幅高开高走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+6.33%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强势领涨白酒板块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83.50 / 88.43 / 83.50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低开高走，振幅5.98%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25.51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半日即放量显著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29.40 万手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半日已接近前日全天水平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2.0%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较上日（1.129%）放大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1.77倍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交投明显活跃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8.7 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处于历史估值低位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2.5 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合理偏低区间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1290.56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内外盘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外盘149,649 / 内盘144,312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买盘略强于卖盘</w:t>
            </w:r>
          </w:p>
        </w:tc>
      </w:tr>
    </w:tbl>
    <w:p/>
    <w:p>
      <w:r>
        <w:rPr>
          <w:rFonts w:ascii="Microsoft YaHei" w:hAnsi="Microsoft YaHei"/>
        </w:rPr>
        <w:t xml:space="preserve">泸州老窖今日半日涨幅 </w:t>
      </w:r>
      <w:r>
        <w:rPr>
          <w:rFonts w:ascii="Microsoft YaHei" w:hAnsi="Microsoft YaHei"/>
          <w:b/>
          <w:color w:val="1A1A1A"/>
        </w:rPr>
        <w:t>+6.33%</w:t>
      </w:r>
      <w:r>
        <w:rPr>
          <w:rFonts w:ascii="Microsoft YaHei" w:hAnsi="Microsoft YaHei"/>
        </w:rPr>
        <w:t xml:space="preserve">，在白酒概念板块 </w:t>
      </w:r>
      <w:r>
        <w:rPr>
          <w:rFonts w:ascii="Microsoft YaHei" w:hAnsi="Microsoft YaHei"/>
          <w:b/>
          <w:color w:val="1A1A1A"/>
        </w:rPr>
        <w:t>47只成分股中排名第3位</w:t>
      </w:r>
      <w:r>
        <w:rPr>
          <w:rFonts w:ascii="Microsoft YaHei" w:hAnsi="Microsoft YaHei"/>
        </w:rPr>
        <w:t>，仅次于威龙股份（+10.01%）、古井贡酒（+10.00%），优于贵州茅台（+5.95%）和金徽酒（+5.87%）。</w:t>
      </w:r>
    </w:p>
    <w:p>
      <w:r>
        <w:rPr>
          <w:rFonts w:ascii="Microsoft YaHei" w:hAnsi="Microsoft YaHei"/>
          <w:b/>
          <w:color w:val="1A1A1A"/>
        </w:rPr>
        <w:t>估值角度</w:t>
      </w:r>
      <w:r>
        <w:rPr>
          <w:rFonts w:ascii="Microsoft YaHei" w:hAnsi="Microsoft YaHei"/>
        </w:rPr>
        <w:t xml:space="preserve">：当前动态市盈率仅 </w:t>
      </w:r>
      <w:r>
        <w:rPr>
          <w:rFonts w:ascii="Microsoft YaHei" w:hAnsi="Microsoft YaHei"/>
          <w:b/>
          <w:color w:val="1A1A1A"/>
        </w:rPr>
        <w:t>8.7倍</w:t>
      </w:r>
      <w:r>
        <w:rPr>
          <w:rFonts w:ascii="Microsoft YaHei" w:hAnsi="Microsoft YaHei"/>
        </w:rPr>
        <w:t xml:space="preserve">，显著低于上日收盘的 </w:t>
      </w:r>
      <w:r>
        <w:rPr>
          <w:rFonts w:ascii="Microsoft YaHei" w:hAnsi="Microsoft YaHei"/>
          <w:b/>
          <w:color w:val="1A1A1A"/>
        </w:rPr>
        <w:t>11.82倍</w:t>
      </w:r>
      <w:r>
        <w:rPr>
          <w:rFonts w:ascii="Microsoft YaHei" w:hAnsi="Microsoft YaHei"/>
        </w:rPr>
        <w:t>。作为高端白酒龙头之一，这一估值水平处于近年来的底部区域，具备较强的安全边际和估值修复弹性。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7,686.90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 / 流出分钟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58分钟 / 63分钟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2,120.2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966.0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+7,821.96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1.37亿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0.59亿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-192.88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3.26亿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3.28亿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+57.83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0.69亿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0.69亿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 xml:space="preserve">：今日资金净流入 </w:t>
      </w:r>
      <w:r>
        <w:rPr>
          <w:rFonts w:ascii="Microsoft YaHei" w:hAnsi="Microsoft YaHei"/>
          <w:b/>
          <w:color w:val="1A1A1A"/>
        </w:rPr>
        <w:t>7,686.90万元</w:t>
      </w:r>
      <w:r>
        <w:rPr>
          <w:rFonts w:ascii="Microsoft YaHei" w:hAnsi="Microsoft YaHei"/>
        </w:rPr>
        <w:t xml:space="preserve">，结合上日大单净流入 </w:t>
      </w:r>
      <w:r>
        <w:rPr>
          <w:rFonts w:ascii="Microsoft YaHei" w:hAnsi="Microsoft YaHei"/>
          <w:b/>
          <w:color w:val="1A1A1A"/>
        </w:rPr>
        <w:t>+7,822万元</w:t>
      </w:r>
      <w:r>
        <w:rPr>
          <w:rFonts w:ascii="Microsoft YaHei" w:hAnsi="Microsoft YaHei"/>
        </w:rPr>
        <w:t xml:space="preserve"> 来看，大资金已连续两日积极介入。今日盘中最大单分钟流入高达 </w:t>
      </w:r>
      <w:r>
        <w:rPr>
          <w:rFonts w:ascii="Microsoft YaHei" w:hAnsi="Microsoft YaHei"/>
          <w:b/>
          <w:color w:val="1A1A1A"/>
        </w:rPr>
        <w:t>2,120万元</w:t>
      </w:r>
      <w:r>
        <w:rPr>
          <w:rFonts w:ascii="Microsoft YaHei" w:hAnsi="Microsoft YaHei"/>
        </w:rPr>
        <w:t xml:space="preserve">，是最大单分钟流出（966万）的 </w:t>
      </w:r>
      <w:r>
        <w:rPr>
          <w:rFonts w:ascii="Microsoft YaHei" w:hAnsi="Microsoft YaHei"/>
          <w:b/>
          <w:color w:val="1A1A1A"/>
        </w:rPr>
        <w:t>2.2倍</w:t>
      </w:r>
      <w:r>
        <w:rPr>
          <w:rFonts w:ascii="Microsoft YaHei" w:hAnsi="Microsoft YaHei"/>
        </w:rPr>
        <w:t xml:space="preserve">，显示买盘力度显著大于卖盘。内外盘结构为 </w:t>
      </w:r>
      <w:r>
        <w:rPr>
          <w:rFonts w:ascii="Microsoft YaHei" w:hAnsi="Microsoft YaHei"/>
          <w:b/>
          <w:color w:val="1A1A1A"/>
        </w:rPr>
        <w:t>外盘149,649手 &gt; 内盘144,312手</w:t>
      </w:r>
      <w:r>
        <w:rPr>
          <w:rFonts w:ascii="Microsoft YaHei" w:hAnsi="Microsoft YaHei"/>
        </w:rPr>
        <w:t>，买盘动能占优。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23.81亿元</w:t>
      </w:r>
      <w:r>
        <w:rPr>
          <w:rFonts w:ascii="Microsoft YaHei" w:hAnsi="Microsoft YaHei"/>
        </w:rPr>
        <w:t>（较前日 -0.67%），小幅去杠杆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0.37亿元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+11.91%</w:t>
      </w:r>
      <w:r>
        <w:rPr>
          <w:rFonts w:ascii="Microsoft YaHei" w:hAnsi="Microsoft YaHei"/>
        </w:rPr>
        <w:t>），融券略有增加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MA5（约85.04元）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MA10（约82.96元）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MA20/布林中轨（约79.86元）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87.70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 87.68 元，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逼近上轨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72.02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区间宽度适中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股价已强势站上 </w:t>
      </w:r>
      <w:r>
        <w:rPr>
          <w:rFonts w:ascii="Microsoft YaHei" w:hAnsi="Microsoft YaHei"/>
          <w:b/>
          <w:color w:val="1A1A1A"/>
        </w:rPr>
        <w:t>MA5、MA10、MA20</w:t>
      </w:r>
      <w:r>
        <w:rPr>
          <w:rFonts w:ascii="Microsoft YaHei" w:hAnsi="Microsoft YaHei"/>
        </w:rPr>
        <w:t xml:space="preserve"> 三条均线，短期多头格局确立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87.68 元</w:t>
      </w:r>
      <w:r>
        <w:rPr>
          <w:rFonts w:ascii="Microsoft YaHei" w:hAnsi="Microsoft YaHei"/>
        </w:rPr>
        <w:t xml:space="preserve">，距布林带上轨 </w:t>
      </w:r>
      <w:r>
        <w:rPr>
          <w:rFonts w:ascii="Microsoft YaHei" w:hAnsi="Microsoft YaHei"/>
          <w:b/>
          <w:color w:val="1A1A1A"/>
        </w:rPr>
        <w:t>87.70 元</w:t>
      </w:r>
      <w:r>
        <w:rPr>
          <w:rFonts w:ascii="Microsoft YaHei" w:hAnsi="Microsoft YaHei"/>
        </w:rPr>
        <w:t xml:space="preserve">仅差 </w:t>
      </w:r>
      <w:r>
        <w:rPr>
          <w:rFonts w:ascii="Microsoft YaHei" w:hAnsi="Microsoft YaHei"/>
          <w:b/>
          <w:color w:val="1A1A1A"/>
        </w:rPr>
        <w:t>0.02元（0.02%）</w:t>
      </w:r>
      <w:r>
        <w:rPr>
          <w:rFonts w:ascii="Microsoft YaHei" w:hAnsi="Microsoft YaHei"/>
        </w:rPr>
        <w:t>，已</w:t>
      </w:r>
      <w:r>
        <w:rPr>
          <w:rFonts w:ascii="Microsoft YaHei" w:hAnsi="Microsoft YaHei"/>
          <w:b/>
          <w:color w:val="1A1A1A"/>
        </w:rPr>
        <w:t>几乎触及上轨</w:t>
      </w:r>
      <w:r>
        <w:rPr>
          <w:rFonts w:ascii="Microsoft YaHei" w:hAnsi="Microsoft YaHei"/>
        </w:rPr>
        <w:t>。强势行情中，上轨可能被突破打开新的上行空间，但也需注意短期超买后的技术回踩压力</w:t>
      </w:r>
    </w:p>
    <w:p>
      <w:pPr>
        <w:pStyle w:val="ListBullet"/>
      </w:pPr>
      <w:r>
        <w:rPr>
          <w:rFonts w:ascii="Microsoft YaHei" w:hAnsi="Microsoft YaHei"/>
        </w:rPr>
        <w:t xml:space="preserve">从布林带下轨72.02元到上轨87.70元，区间宽度约 </w:t>
      </w:r>
      <w:r>
        <w:rPr>
          <w:rFonts w:ascii="Microsoft YaHei" w:hAnsi="Microsoft YaHei"/>
          <w:b/>
          <w:color w:val="1A1A1A"/>
        </w:rPr>
        <w:t>21.8%</w:t>
      </w:r>
      <w:r>
        <w:rPr>
          <w:rFonts w:ascii="Microsoft YaHei" w:hAnsi="Microsoft YaHei"/>
        </w:rPr>
        <w:t xml:space="preserve">，当前价格接近上轨，偏离中轨 </w:t>
      </w:r>
      <w:r>
        <w:rPr>
          <w:rFonts w:ascii="Microsoft YaHei" w:hAnsi="Microsoft YaHei"/>
          <w:b/>
          <w:color w:val="1A1A1A"/>
        </w:rPr>
        <w:t>9.8%</w:t>
      </w:r>
      <w:r>
        <w:rPr>
          <w:rFonts w:ascii="Microsoft YaHei" w:hAnsi="Microsoft YaHei"/>
        </w:rPr>
        <w:t>，短期乖离率偏大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盘面联动消息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大消费板块集体走强</w:t>
      </w:r>
      <w:r>
        <w:rPr>
          <w:rFonts w:ascii="Microsoft YaHei" w:hAnsi="Microsoft YaHei"/>
        </w:rPr>
        <w:t xml:space="preserve">：今日食品饮料板块涨幅 </w:t>
      </w:r>
      <w:r>
        <w:rPr>
          <w:rFonts w:ascii="Microsoft YaHei" w:hAnsi="Microsoft YaHei"/>
          <w:b/>
          <w:color w:val="1A1A1A"/>
        </w:rPr>
        <w:t>+2.53%</w:t>
      </w:r>
      <w:r>
        <w:rPr>
          <w:rFonts w:ascii="Microsoft YaHei" w:hAnsi="Microsoft YaHei"/>
        </w:rPr>
        <w:t>，一鸣食品、均瑶健康、欢乐家等多只个股涨停，直接带动白酒板块情绪。威龙股份涨停、古井贡酒涨停、泸州老窖+6.33%、贵州茅台+5.95%，</w:t>
      </w:r>
      <w:r>
        <w:rPr>
          <w:rFonts w:ascii="Microsoft YaHei" w:hAnsi="Microsoft YaHei"/>
          <w:b/>
          <w:color w:val="1A1A1A"/>
        </w:rPr>
        <w:t>白酒板块呈现全面爆发态势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市场情绪修复</w:t>
      </w:r>
      <w:r>
        <w:rPr>
          <w:rFonts w:ascii="Microsoft YaHei" w:hAnsi="Microsoft YaHei"/>
        </w:rPr>
        <w:t>：早盘三大指数低开后探底回升，创业板指由跌转涨逾1%，全市场近4000只个股上涨。此前一日（7月28日）市场大幅调整（创业板指跌7.35%），今日的反弹显示资金开始回补，泛消费成为资金首选方向。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食品饮料板块上涨逻辑</w:t>
      </w:r>
      <w:r>
        <w:rPr>
          <w:rFonts w:ascii="Microsoft YaHei" w:hAnsi="Microsoft YaHei"/>
        </w:rPr>
        <w:t>：中信建投研报指出，6月奶牛存栏量577.2万头、环比下降2.2万头，原奶周期向好，乳业及泛消费板块受提振。消费复苏预期增强，资金从科技向消费切换的迹象明显。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酿酒商与葡萄酒商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3/31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强于绝大多数成分股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白酒概念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3/47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跑赢板块均值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饮料(A股)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3/50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板块内龙头梯队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19/319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作为权重股显著跑赢</w:t>
            </w:r>
          </w:p>
        </w:tc>
      </w:tr>
    </w:tbl>
    <w:p/>
    <w:p>
      <w:r>
        <w:rPr>
          <w:rFonts w:ascii="Microsoft YaHei" w:hAnsi="Microsoft YaHei"/>
        </w:rPr>
        <w:t xml:space="preserve">泸州老窖在多个相关板块中均排名前列，与威龙股份（涨停）、古井贡酒（涨停）、贵州茅台（+5.95%）形成 </w:t>
      </w:r>
      <w:r>
        <w:rPr>
          <w:rFonts w:ascii="Microsoft YaHei" w:hAnsi="Microsoft YaHei"/>
          <w:b/>
          <w:color w:val="1A1A1A"/>
        </w:rPr>
        <w:t>高端白酒+次高端白酒+区域名酒</w:t>
      </w:r>
      <w:r>
        <w:rPr>
          <w:rFonts w:ascii="Microsoft YaHei" w:hAnsi="Microsoft YaHei"/>
        </w:rPr>
        <w:t xml:space="preserve"> 的全面共振格局，板块效应明显。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主力观点总结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量价齐升，强势突破</w:t>
      </w:r>
      <w:r>
        <w:rPr>
          <w:rFonts w:ascii="Microsoft YaHei" w:hAnsi="Microsoft YaHei"/>
        </w:rPr>
        <w:t xml:space="preserve">：泸州老窖今日半日涨幅 </w:t>
      </w:r>
      <w:r>
        <w:rPr>
          <w:rFonts w:ascii="Microsoft YaHei" w:hAnsi="Microsoft YaHei"/>
          <w:b/>
          <w:color w:val="1A1A1A"/>
        </w:rPr>
        <w:t>+6.33%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25.51亿元</w:t>
      </w:r>
      <w:r>
        <w:rPr>
          <w:rFonts w:ascii="Microsoft YaHei" w:hAnsi="Microsoft YaHei"/>
        </w:rPr>
        <w:t xml:space="preserve">，换手率放大至 </w:t>
      </w:r>
      <w:r>
        <w:rPr>
          <w:rFonts w:ascii="Microsoft YaHei" w:hAnsi="Microsoft YaHei"/>
          <w:b/>
          <w:color w:val="1A1A1A"/>
        </w:rPr>
        <w:t>2.0%</w:t>
      </w:r>
      <w:r>
        <w:rPr>
          <w:rFonts w:ascii="Microsoft YaHei" w:hAnsi="Microsoft YaHei"/>
        </w:rPr>
        <w:t>（上日1.129%的1.77倍），属于典型的放量上攻形态。量比1.69显示做多动能充沛。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估值洼地效应突出</w:t>
      </w:r>
      <w:r>
        <w:rPr>
          <w:rFonts w:ascii="Microsoft YaHei" w:hAnsi="Microsoft YaHei"/>
        </w:rPr>
        <w:t xml:space="preserve">：动态市盈率仅 </w:t>
      </w:r>
      <w:r>
        <w:rPr>
          <w:rFonts w:ascii="Microsoft YaHei" w:hAnsi="Microsoft YaHei"/>
          <w:b/>
          <w:color w:val="1A1A1A"/>
        </w:rPr>
        <w:t>8.7倍</w:t>
      </w:r>
      <w:r>
        <w:rPr>
          <w:rFonts w:ascii="Microsoft YaHei" w:hAnsi="Microsoft YaHei"/>
        </w:rPr>
        <w:t xml:space="preserve">，在高端白酒阵营中处于极低水平。市场资金在市场震荡修复阶段，优先选择 </w:t>
      </w:r>
      <w:r>
        <w:rPr>
          <w:rFonts w:ascii="Microsoft YaHei" w:hAnsi="Microsoft YaHei"/>
          <w:b/>
          <w:color w:val="1A1A1A"/>
        </w:rPr>
        <w:t>低估值+高确定性</w:t>
      </w:r>
      <w:r>
        <w:rPr>
          <w:rFonts w:ascii="Microsoft YaHei" w:hAnsi="Microsoft YaHei"/>
        </w:rPr>
        <w:t xml:space="preserve"> 的白酒龙头进行配置。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资金面确认主力入场</w:t>
      </w:r>
      <w:r>
        <w:rPr>
          <w:rFonts w:ascii="Microsoft YaHei" w:hAnsi="Microsoft YaHei"/>
        </w:rPr>
        <w:t xml:space="preserve">：连续两日大单净流入超 </w:t>
      </w:r>
      <w:r>
        <w:rPr>
          <w:rFonts w:ascii="Microsoft YaHei" w:hAnsi="Microsoft YaHei"/>
          <w:b/>
          <w:color w:val="1A1A1A"/>
        </w:rPr>
        <w:t>7,800万元</w:t>
      </w:r>
      <w:r>
        <w:rPr>
          <w:rFonts w:ascii="Microsoft YaHei" w:hAnsi="Microsoft YaHei"/>
        </w:rPr>
        <w:t>，今日盘中最大单分钟流入达2,120万元，机构资金回补迹象明确。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技术上接近上轨，注意短期节奏</w:t>
      </w:r>
      <w:r>
        <w:rPr>
          <w:rFonts w:ascii="Microsoft YaHei" w:hAnsi="Microsoft YaHei"/>
        </w:rPr>
        <w:t xml:space="preserve">：当前价87.68元紧贴布林带上轨87.70元，短期强势特征显著，存在突破上轨打开新空间的可能；但同时也需关注 </w:t>
      </w:r>
      <w:r>
        <w:rPr>
          <w:rFonts w:ascii="Microsoft YaHei" w:hAnsi="Microsoft YaHei"/>
          <w:b/>
          <w:color w:val="1A1A1A"/>
        </w:rPr>
        <w:t>乖离率偏高</w:t>
      </w:r>
      <w:r>
        <w:rPr>
          <w:rFonts w:ascii="Microsoft YaHei" w:hAnsi="Microsoft YaHei"/>
        </w:rPr>
        <w:t>（距MA20达9.8%）可能引发的技术性整理。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板块共振提供支撑</w:t>
      </w:r>
      <w:r>
        <w:rPr>
          <w:rFonts w:ascii="Microsoft YaHei" w:hAnsi="Microsoft YaHei"/>
        </w:rPr>
        <w:t>：食品饮料板块领涨全市场，白酒板块全面爆发，泸州老窖作为板块第三龙头，受益于板块资金轮动效应。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：以上分析基于午盘数据，不构成投资建议。股价已接近布林带上轨，短期存在技术回调可能；融券余额较前日增加11.91%，需关注做空力量变化。投资有风险，入市需谨慎。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泸州老窖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