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icrosoft YaHei" w:hAnsi="Microsoft YaHei"/>
        </w:rPr>
        <w:t>所有正文获取均超时，我将基于标题摘要和盘中数据进行综合分析。以下是完整报告。</w:t>
      </w:r>
    </w:p>
    <w:p>
      <w:pPr>
        <w:spacing w:before="240" w:after="240"/>
        <w:pBdr>
          <w:bottom w:val="single" w:sz="4" w:space="1" w:color="D0D7DE"/>
        </w:pBdr>
      </w:pPr>
    </w:p>
    <w:p>
      <w:pPr>
        <w:spacing w:before="480" w:after="80" w:line="288" w:lineRule="auto"/>
        <w:pBdr>
          <w:bottom w:val="single" w:sz="4" w:space="4" w:color="D0D7DE"/>
        </w:pBdr>
      </w:pPr>
      <w:r>
        <w:rPr>
          <w:rFonts w:ascii="Microsoft YaHei" w:hAnsi="Microsoft YaHei"/>
          <w:b/>
          <w:color w:val="1A1A1A"/>
          <w:sz w:val="36"/>
        </w:rPr>
        <w:t>淮北矿业（600985.SH）午间分析报告</w:t>
      </w:r>
    </w:p>
    <w:p>
      <w:r>
        <w:rPr>
          <w:rFonts w:ascii="Microsoft YaHei" w:hAnsi="Microsoft YaHei"/>
          <w:b/>
          <w:color w:val="1A1A1A"/>
        </w:rPr>
        <w:t>数据截止：2026年7月29日 11:30</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市场概况</w:t>
      </w:r>
    </w:p>
    <w:p>
      <w:r>
        <w:rPr>
          <w:rFonts w:ascii="Microsoft YaHei" w:hAnsi="Microsoft YaHei"/>
        </w:rPr>
        <w:t xml:space="preserve">今日全市场情绪高位运行，市场热度 </w:t>
      </w:r>
      <w:r>
        <w:rPr>
          <w:rFonts w:ascii="Microsoft YaHei" w:hAnsi="Microsoft YaHei"/>
          <w:b/>
          <w:color w:val="1A1A1A"/>
        </w:rPr>
        <w:t>68（高）</w:t>
      </w:r>
      <w:r>
        <w:rPr>
          <w:rFonts w:ascii="Microsoft YaHei" w:hAnsi="Microsoft YaHei"/>
        </w:rPr>
        <w:t xml:space="preserve">，上涨家数 </w:t>
      </w:r>
      <w:r>
        <w:rPr>
          <w:rFonts w:ascii="Microsoft YaHei" w:hAnsi="Microsoft YaHei"/>
          <w:b/>
          <w:color w:val="1A1A1A"/>
        </w:rPr>
        <w:t>4,103 只</w:t>
      </w:r>
      <w:r>
        <w:rPr>
          <w:rFonts w:ascii="Microsoft YaHei" w:hAnsi="Microsoft YaHei"/>
        </w:rPr>
        <w:t xml:space="preserve">，涨停 </w:t>
      </w:r>
      <w:r>
        <w:rPr>
          <w:rFonts w:ascii="Microsoft YaHei" w:hAnsi="Microsoft YaHei"/>
          <w:b/>
          <w:color w:val="1A1A1A"/>
        </w:rPr>
        <w:t>76 只</w:t>
      </w:r>
      <w:r>
        <w:rPr>
          <w:rFonts w:ascii="Microsoft YaHei" w:hAnsi="Microsoft YaHei"/>
        </w:rPr>
        <w:t xml:space="preserve">，赚钱效应 </w:t>
      </w:r>
      <w:r>
        <w:rPr>
          <w:rFonts w:ascii="Microsoft YaHei" w:hAnsi="Microsoft YaHei"/>
          <w:b/>
          <w:color w:val="1A1A1A"/>
        </w:rPr>
        <w:t>51%</w:t>
      </w:r>
      <w:r>
        <w:rPr>
          <w:rFonts w:ascii="Microsoft YaHei" w:hAnsi="Microsoft YaHei"/>
        </w:rPr>
        <w:t xml:space="preserve">。两市成交额 </w:t>
      </w:r>
      <w:r>
        <w:rPr>
          <w:rFonts w:ascii="Microsoft YaHei" w:hAnsi="Microsoft YaHei"/>
          <w:b/>
          <w:color w:val="1A1A1A"/>
        </w:rPr>
        <w:t>2.06 万亿</w:t>
      </w:r>
      <w:r>
        <w:rPr>
          <w:rFonts w:ascii="Microsoft YaHei" w:hAnsi="Microsoft YaHei"/>
        </w:rPr>
        <w:t>，较前日显著放量（+2,960亿），增量资金入场迹象明显。在此背景下，煤炭板块集体爆发，</w:t>
      </w:r>
      <w:r>
        <w:rPr>
          <w:rFonts w:ascii="Microsoft YaHei" w:hAnsi="Microsoft YaHei"/>
          <w:b/>
          <w:color w:val="1A1A1A"/>
        </w:rPr>
        <w:t>煤与消费用燃料（A股）板块上涨 +3.16%</w:t>
      </w:r>
      <w:r>
        <w:rPr>
          <w:rFonts w:ascii="Microsoft YaHei" w:hAnsi="Microsoft YaHei"/>
        </w:rPr>
        <w:t xml:space="preserve">，排名全行业第 </w:t>
      </w:r>
      <w:r>
        <w:rPr>
          <w:rFonts w:ascii="Microsoft YaHei" w:hAnsi="Microsoft YaHei"/>
          <w:b/>
          <w:color w:val="1A1A1A"/>
        </w:rPr>
        <w:t>33/1158</w:t>
      </w:r>
      <w:r>
        <w:rPr>
          <w:rFonts w:ascii="Microsoft YaHei" w:hAnsi="Microsoft YaHei"/>
        </w:rPr>
        <w:t>，其中兖矿能源、大有能源、淮北矿业携手涨停。</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个股分析</w:t>
      </w:r>
    </w:p>
    <w:p>
      <w:pPr>
        <w:spacing w:before="280" w:after="80" w:line="312" w:lineRule="auto"/>
      </w:pPr>
      <w:r>
        <w:rPr>
          <w:rFonts w:ascii="Microsoft YaHei" w:hAnsi="Microsoft YaHei"/>
          <w:b/>
          <w:color w:val="333333"/>
          <w:sz w:val="24"/>
        </w:rPr>
        <w:t>核心收盘数据</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指标</w:t>
            </w:r>
          </w:p>
        </w:tc>
        <w:tc>
          <w:tcPr>
            <w:tcW w:type="dxa" w:w="2266"/>
            <w:shd w:fill="F6F8FA" w:val="clear"/>
          </w:tcPr>
          <w:p>
            <w:pPr>
              <w:spacing w:before="40" w:after="40" w:line="288" w:lineRule="auto"/>
            </w:pPr>
            <w:r/>
            <w:r>
              <w:rPr>
                <w:rFonts w:ascii="Microsoft YaHei" w:hAnsi="Microsoft YaHei"/>
                <w:b/>
                <w:color w:val="1A1A1A"/>
                <w:sz w:val="18"/>
              </w:rPr>
              <w:t>数值</w:t>
            </w:r>
          </w:p>
        </w:tc>
        <w:tc>
          <w:tcPr>
            <w:tcW w:type="dxa" w:w="2266"/>
            <w:shd w:fill="F6F8FA" w:val="clear"/>
          </w:tcPr>
          <w:p>
            <w:pPr>
              <w:spacing w:before="40" w:after="40" w:line="288" w:lineRule="auto"/>
            </w:pPr>
            <w:r/>
            <w:r>
              <w:rPr>
                <w:rFonts w:ascii="Microsoft YaHei" w:hAnsi="Microsoft YaHei"/>
                <w:b/>
                <w:color w:val="1A1A1A"/>
                <w:sz w:val="18"/>
              </w:rPr>
              <w:t>指标</w:t>
            </w:r>
          </w:p>
        </w:tc>
        <w:tc>
          <w:tcPr>
            <w:tcW w:type="dxa" w:w="2266"/>
            <w:shd w:fill="F6F8FA" w:val="clear"/>
          </w:tcPr>
          <w:p>
            <w:pPr>
              <w:spacing w:before="40" w:after="40" w:line="288" w:lineRule="auto"/>
            </w:pPr>
            <w:r/>
            <w:r>
              <w:rPr>
                <w:rFonts w:ascii="Microsoft YaHei" w:hAnsi="Microsoft YaHei"/>
                <w:b/>
                <w:color w:val="1A1A1A"/>
                <w:sz w:val="18"/>
              </w:rPr>
              <w:t>数值</w:t>
            </w:r>
          </w:p>
        </w:tc>
      </w:tr>
      <w:tr>
        <w:tc>
          <w:tcPr>
            <w:tcW w:type="dxa" w:w="2266"/>
          </w:tcPr>
          <w:p>
            <w:pPr>
              <w:spacing w:before="40" w:after="40" w:line="288" w:lineRule="auto"/>
            </w:pPr>
            <w:r/>
            <w:r>
              <w:rPr>
                <w:rFonts w:ascii="Microsoft YaHei" w:hAnsi="Microsoft YaHei"/>
                <w:sz w:val="18"/>
              </w:rPr>
              <w:t>当前价</w:t>
            </w:r>
          </w:p>
        </w:tc>
        <w:tc>
          <w:tcPr>
            <w:tcW w:type="dxa" w:w="2266"/>
          </w:tcPr>
          <w:p>
            <w:pPr>
              <w:spacing w:before="40" w:after="40" w:line="288" w:lineRule="auto"/>
            </w:pPr>
            <w:r/>
            <w:r>
              <w:rPr>
                <w:rFonts w:ascii="Microsoft YaHei" w:hAnsi="Microsoft YaHei"/>
                <w:b/>
                <w:color w:val="1A1A1A"/>
                <w:sz w:val="18"/>
              </w:rPr>
              <w:t>15.62 元（涨停）</w:t>
            </w:r>
          </w:p>
        </w:tc>
        <w:tc>
          <w:tcPr>
            <w:tcW w:type="dxa" w:w="2266"/>
          </w:tcPr>
          <w:p>
            <w:pPr>
              <w:spacing w:before="40" w:after="40" w:line="288" w:lineRule="auto"/>
            </w:pPr>
            <w:r/>
            <w:r>
              <w:rPr>
                <w:rFonts w:ascii="Microsoft YaHei" w:hAnsi="Microsoft YaHei"/>
                <w:sz w:val="18"/>
              </w:rPr>
              <w:t>涨跌幅</w:t>
            </w:r>
          </w:p>
        </w:tc>
        <w:tc>
          <w:tcPr>
            <w:tcW w:type="dxa" w:w="2266"/>
          </w:tcPr>
          <w:p>
            <w:pPr>
              <w:spacing w:before="40" w:after="40" w:line="288" w:lineRule="auto"/>
            </w:pPr>
            <w:r/>
            <w:r>
              <w:rPr>
                <w:rFonts w:ascii="Microsoft YaHei" w:hAnsi="Microsoft YaHei"/>
                <w:b/>
                <w:color w:val="1A1A1A"/>
                <w:sz w:val="18"/>
              </w:rPr>
              <w:t>+10.0%</w:t>
            </w:r>
          </w:p>
        </w:tc>
      </w:tr>
      <w:tr>
        <w:tc>
          <w:tcPr>
            <w:tcW w:type="dxa" w:w="2266"/>
            <w:shd w:fill="F8F9FA" w:val="clear"/>
          </w:tcPr>
          <w:p>
            <w:pPr>
              <w:spacing w:before="40" w:after="40" w:line="288" w:lineRule="auto"/>
            </w:pPr>
            <w:r/>
            <w:r>
              <w:rPr>
                <w:rFonts w:ascii="Microsoft YaHei" w:hAnsi="Microsoft YaHei"/>
                <w:sz w:val="18"/>
              </w:rPr>
              <w:t>昨收 / 开盘</w:t>
            </w:r>
          </w:p>
        </w:tc>
        <w:tc>
          <w:tcPr>
            <w:tcW w:type="dxa" w:w="2266"/>
            <w:shd w:fill="F8F9FA" w:val="clear"/>
          </w:tcPr>
          <w:p>
            <w:pPr>
              <w:spacing w:before="40" w:after="40" w:line="288" w:lineRule="auto"/>
            </w:pPr>
            <w:r/>
            <w:r>
              <w:rPr>
                <w:rFonts w:ascii="Microsoft YaHei" w:hAnsi="Microsoft YaHei"/>
                <w:sz w:val="18"/>
              </w:rPr>
              <w:t>14.20 / 14.31</w:t>
            </w:r>
          </w:p>
        </w:tc>
        <w:tc>
          <w:tcPr>
            <w:tcW w:type="dxa" w:w="2266"/>
            <w:shd w:fill="F8F9FA" w:val="clear"/>
          </w:tcPr>
          <w:p>
            <w:pPr>
              <w:spacing w:before="40" w:after="40" w:line="288" w:lineRule="auto"/>
            </w:pPr>
            <w:r/>
            <w:r>
              <w:rPr>
                <w:rFonts w:ascii="Microsoft YaHei" w:hAnsi="Microsoft YaHei"/>
                <w:sz w:val="18"/>
              </w:rPr>
              <w:t>最高 / 最低</w:t>
            </w:r>
          </w:p>
        </w:tc>
        <w:tc>
          <w:tcPr>
            <w:tcW w:type="dxa" w:w="2266"/>
            <w:shd w:fill="F8F9FA" w:val="clear"/>
          </w:tcPr>
          <w:p>
            <w:pPr>
              <w:spacing w:before="40" w:after="40" w:line="288" w:lineRule="auto"/>
            </w:pPr>
            <w:r/>
            <w:r>
              <w:rPr>
                <w:rFonts w:ascii="Microsoft YaHei" w:hAnsi="Microsoft YaHei"/>
                <w:sz w:val="18"/>
              </w:rPr>
              <w:t>15.62 / 14.30</w:t>
            </w:r>
          </w:p>
        </w:tc>
      </w:tr>
      <w:tr>
        <w:tc>
          <w:tcPr>
            <w:tcW w:type="dxa" w:w="2266"/>
          </w:tcPr>
          <w:p>
            <w:pPr>
              <w:spacing w:before="40" w:after="40" w:line="288" w:lineRule="auto"/>
            </w:pPr>
            <w:r/>
            <w:r>
              <w:rPr>
                <w:rFonts w:ascii="Microsoft YaHei" w:hAnsi="Microsoft YaHei"/>
                <w:sz w:val="18"/>
              </w:rPr>
              <w:t>成交额</w:t>
            </w:r>
          </w:p>
        </w:tc>
        <w:tc>
          <w:tcPr>
            <w:tcW w:type="dxa" w:w="2266"/>
          </w:tcPr>
          <w:p>
            <w:pPr>
              <w:spacing w:before="40" w:after="40" w:line="288" w:lineRule="auto"/>
            </w:pPr>
            <w:r/>
            <w:r>
              <w:rPr>
                <w:rFonts w:ascii="Microsoft YaHei" w:hAnsi="Microsoft YaHei"/>
                <w:b/>
                <w:color w:val="1A1A1A"/>
                <w:sz w:val="18"/>
              </w:rPr>
              <w:t>4.59 亿元</w:t>
            </w:r>
          </w:p>
        </w:tc>
        <w:tc>
          <w:tcPr>
            <w:tcW w:type="dxa" w:w="2266"/>
          </w:tcPr>
          <w:p>
            <w:pPr>
              <w:spacing w:before="40" w:after="40" w:line="288" w:lineRule="auto"/>
            </w:pPr>
            <w:r/>
            <w:r>
              <w:rPr>
                <w:rFonts w:ascii="Microsoft YaHei" w:hAnsi="Microsoft YaHei"/>
                <w:sz w:val="18"/>
              </w:rPr>
              <w:t>换手率</w:t>
            </w:r>
          </w:p>
        </w:tc>
        <w:tc>
          <w:tcPr>
            <w:tcW w:type="dxa" w:w="2266"/>
          </w:tcPr>
          <w:p>
            <w:pPr>
              <w:spacing w:before="40" w:after="40" w:line="288" w:lineRule="auto"/>
            </w:pPr>
            <w:r/>
            <w:r>
              <w:rPr>
                <w:rFonts w:ascii="Microsoft YaHei" w:hAnsi="Microsoft YaHei"/>
                <w:b/>
                <w:color w:val="1A1A1A"/>
                <w:sz w:val="18"/>
              </w:rPr>
              <w:t>1.13%</w:t>
            </w:r>
          </w:p>
        </w:tc>
      </w:tr>
      <w:tr>
        <w:tc>
          <w:tcPr>
            <w:tcW w:type="dxa" w:w="2266"/>
            <w:shd w:fill="F8F9FA" w:val="clear"/>
          </w:tcPr>
          <w:p>
            <w:pPr>
              <w:spacing w:before="40" w:after="40" w:line="288" w:lineRule="auto"/>
            </w:pPr>
            <w:r/>
            <w:r>
              <w:rPr>
                <w:rFonts w:ascii="Microsoft YaHei" w:hAnsi="Microsoft YaHei"/>
                <w:sz w:val="18"/>
              </w:rPr>
              <w:t>振幅</w:t>
            </w:r>
          </w:p>
        </w:tc>
        <w:tc>
          <w:tcPr>
            <w:tcW w:type="dxa" w:w="2266"/>
            <w:shd w:fill="F8F9FA" w:val="clear"/>
          </w:tcPr>
          <w:p>
            <w:pPr>
              <w:spacing w:before="40" w:after="40" w:line="288" w:lineRule="auto"/>
            </w:pPr>
            <w:r/>
            <w:r>
              <w:rPr>
                <w:rFonts w:ascii="Microsoft YaHei" w:hAnsi="Microsoft YaHei"/>
                <w:b/>
                <w:color w:val="1A1A1A"/>
                <w:sz w:val="18"/>
              </w:rPr>
              <w:t>9.3%</w:t>
            </w:r>
          </w:p>
        </w:tc>
        <w:tc>
          <w:tcPr>
            <w:tcW w:type="dxa" w:w="2266"/>
            <w:shd w:fill="F8F9FA" w:val="clear"/>
          </w:tcPr>
          <w:p>
            <w:pPr>
              <w:spacing w:before="40" w:after="40" w:line="288" w:lineRule="auto"/>
            </w:pPr>
            <w:r/>
            <w:r>
              <w:rPr>
                <w:rFonts w:ascii="Microsoft YaHei" w:hAnsi="Microsoft YaHei"/>
                <w:sz w:val="18"/>
              </w:rPr>
              <w:t>量比</w:t>
            </w:r>
          </w:p>
        </w:tc>
        <w:tc>
          <w:tcPr>
            <w:tcW w:type="dxa" w:w="2266"/>
            <w:shd w:fill="F8F9FA" w:val="clear"/>
          </w:tcPr>
          <w:p>
            <w:pPr>
              <w:spacing w:before="40" w:after="40" w:line="288" w:lineRule="auto"/>
            </w:pPr>
            <w:r/>
            <w:r>
              <w:rPr>
                <w:rFonts w:ascii="Microsoft YaHei" w:hAnsi="Microsoft YaHei"/>
                <w:b/>
                <w:color w:val="1A1A1A"/>
                <w:sz w:val="18"/>
              </w:rPr>
              <w:t>1.22</w:t>
            </w:r>
          </w:p>
        </w:tc>
      </w:tr>
      <w:tr>
        <w:tc>
          <w:tcPr>
            <w:tcW w:type="dxa" w:w="2266"/>
          </w:tcPr>
          <w:p>
            <w:pPr>
              <w:spacing w:before="40" w:after="40" w:line="288" w:lineRule="auto"/>
            </w:pPr>
            <w:r/>
            <w:r>
              <w:rPr>
                <w:rFonts w:ascii="Microsoft YaHei" w:hAnsi="Microsoft YaHei"/>
                <w:sz w:val="18"/>
              </w:rPr>
              <w:t>动态市盈率</w:t>
            </w:r>
          </w:p>
        </w:tc>
        <w:tc>
          <w:tcPr>
            <w:tcW w:type="dxa" w:w="2266"/>
          </w:tcPr>
          <w:p>
            <w:pPr>
              <w:spacing w:before="40" w:after="40" w:line="288" w:lineRule="auto"/>
            </w:pPr>
            <w:r/>
            <w:r>
              <w:rPr>
                <w:rFonts w:ascii="Microsoft YaHei" w:hAnsi="Microsoft YaHei"/>
                <w:b/>
                <w:color w:val="1A1A1A"/>
                <w:sz w:val="18"/>
              </w:rPr>
              <w:t>21.42</w:t>
            </w:r>
          </w:p>
        </w:tc>
        <w:tc>
          <w:tcPr>
            <w:tcW w:type="dxa" w:w="2266"/>
          </w:tcPr>
          <w:p>
            <w:pPr>
              <w:spacing w:before="40" w:after="40" w:line="288" w:lineRule="auto"/>
            </w:pPr>
            <w:r/>
            <w:r>
              <w:rPr>
                <w:rFonts w:ascii="Microsoft YaHei" w:hAnsi="Microsoft YaHei"/>
                <w:sz w:val="18"/>
              </w:rPr>
              <w:t>市净率</w:t>
            </w:r>
          </w:p>
        </w:tc>
        <w:tc>
          <w:tcPr>
            <w:tcW w:type="dxa" w:w="2266"/>
          </w:tcPr>
          <w:p>
            <w:pPr>
              <w:spacing w:before="40" w:after="40" w:line="288" w:lineRule="auto"/>
            </w:pPr>
            <w:r/>
            <w:r>
              <w:rPr>
                <w:rFonts w:ascii="Microsoft YaHei" w:hAnsi="Microsoft YaHei"/>
                <w:b/>
                <w:color w:val="1A1A1A"/>
                <w:sz w:val="18"/>
              </w:rPr>
              <w:t>1.02</w:t>
            </w:r>
          </w:p>
        </w:tc>
      </w:tr>
      <w:tr>
        <w:tc>
          <w:tcPr>
            <w:tcW w:type="dxa" w:w="2266"/>
            <w:shd w:fill="F8F9FA" w:val="clear"/>
          </w:tcPr>
          <w:p>
            <w:pPr>
              <w:spacing w:before="40" w:after="40" w:line="288" w:lineRule="auto"/>
            </w:pPr>
            <w:r/>
            <w:r>
              <w:rPr>
                <w:rFonts w:ascii="Microsoft YaHei" w:hAnsi="Microsoft YaHei"/>
                <w:sz w:val="18"/>
              </w:rPr>
              <w:t>总市值 / 流通市值</w:t>
            </w:r>
          </w:p>
        </w:tc>
        <w:tc>
          <w:tcPr>
            <w:tcW w:type="dxa" w:w="2266"/>
            <w:shd w:fill="F8F9FA" w:val="clear"/>
          </w:tcPr>
          <w:p>
            <w:pPr>
              <w:spacing w:before="40" w:after="40" w:line="288" w:lineRule="auto"/>
            </w:pPr>
            <w:r/>
            <w:r>
              <w:rPr>
                <w:rFonts w:ascii="Microsoft YaHei" w:hAnsi="Microsoft YaHei"/>
                <w:b/>
                <w:color w:val="1A1A1A"/>
                <w:sz w:val="18"/>
              </w:rPr>
              <w:t>420.69 亿元</w:t>
            </w:r>
          </w:p>
        </w:tc>
        <w:tc>
          <w:tcPr>
            <w:tcW w:type="dxa" w:w="2266"/>
            <w:shd w:fill="F8F9FA" w:val="clear"/>
          </w:tcPr>
          <w:p>
            <w:pPr>
              <w:spacing w:before="40" w:after="40" w:line="288" w:lineRule="auto"/>
            </w:pPr>
            <w:r/>
          </w:p>
        </w:tc>
        <w:tc>
          <w:tcPr>
            <w:tcW w:type="dxa" w:w="2266"/>
            <w:shd w:fill="F8F9FA" w:val="clear"/>
          </w:tcPr>
          <w:p>
            <w:pPr>
              <w:spacing w:before="40" w:after="40" w:line="288" w:lineRule="auto"/>
            </w:pPr>
            <w:r/>
          </w:p>
        </w:tc>
      </w:tr>
    </w:tbl>
    <w:p/>
    <w:p>
      <w:pPr>
        <w:spacing w:before="280" w:after="80" w:line="312" w:lineRule="auto"/>
      </w:pPr>
      <w:r>
        <w:rPr>
          <w:rFonts w:ascii="Microsoft YaHei" w:hAnsi="Microsoft YaHei"/>
          <w:b/>
          <w:color w:val="333333"/>
          <w:sz w:val="24"/>
        </w:rPr>
        <w:t>涨停封板特征</w:t>
      </w:r>
    </w:p>
    <w:p>
      <w:pPr>
        <w:pStyle w:val="ListBullet"/>
      </w:pPr>
      <w:r>
        <w:rPr>
          <w:rFonts w:ascii="Microsoft YaHei" w:hAnsi="Microsoft YaHei"/>
          <w:b/>
          <w:color w:val="1A1A1A"/>
        </w:rPr>
        <w:t>买一价 15.62 元（涨停价），卖一价 0.0</w:t>
      </w:r>
      <w:r>
        <w:rPr>
          <w:rFonts w:ascii="Microsoft YaHei" w:hAnsi="Microsoft YaHei"/>
        </w:rPr>
        <w:t xml:space="preserve"> → 封单坚决，无卖盘暴露</w:t>
      </w:r>
    </w:p>
    <w:p>
      <w:pPr>
        <w:pStyle w:val="ListBullet"/>
      </w:pPr>
      <w:r>
        <w:rPr>
          <w:rFonts w:ascii="Microsoft YaHei" w:hAnsi="Microsoft YaHei"/>
        </w:rPr>
        <w:t xml:space="preserve">外盘 </w:t>
      </w:r>
      <w:r>
        <w:rPr>
          <w:rFonts w:ascii="Microsoft YaHei" w:hAnsi="Microsoft YaHei"/>
          <w:b/>
          <w:color w:val="1A1A1A"/>
        </w:rPr>
        <w:t>149,695 手</w:t>
      </w:r>
      <w:r>
        <w:rPr>
          <w:rFonts w:ascii="Microsoft YaHei" w:hAnsi="Microsoft YaHei"/>
        </w:rPr>
        <w:t xml:space="preserve"> vs 内盘 </w:t>
      </w:r>
      <w:r>
        <w:rPr>
          <w:rFonts w:ascii="Microsoft YaHei" w:hAnsi="Microsoft YaHei"/>
          <w:b/>
          <w:color w:val="1A1A1A"/>
        </w:rPr>
        <w:t>153,762 手</w:t>
      </w:r>
      <w:r>
        <w:rPr>
          <w:rFonts w:ascii="Microsoft YaHei" w:hAnsi="Microsoft YaHei"/>
        </w:rPr>
        <w:t>，内外盘基本持平，显示涨停过程中买卖力量均衡，资金入场意愿强烈</w:t>
      </w:r>
    </w:p>
    <w:p>
      <w:pPr>
        <w:pStyle w:val="ListBullet"/>
      </w:pPr>
      <w:r>
        <w:rPr>
          <w:rFonts w:ascii="Microsoft YaHei" w:hAnsi="Microsoft YaHei"/>
        </w:rPr>
        <w:t xml:space="preserve">从开盘价 </w:t>
      </w:r>
      <w:r>
        <w:rPr>
          <w:rFonts w:ascii="Microsoft YaHei" w:hAnsi="Microsoft YaHei"/>
          <w:b/>
          <w:color w:val="1A1A1A"/>
        </w:rPr>
        <w:t>14.31 元</w:t>
      </w:r>
      <w:r>
        <w:rPr>
          <w:rFonts w:ascii="Microsoft YaHei" w:hAnsi="Microsoft YaHei"/>
        </w:rPr>
        <w:t xml:space="preserve">到涨停价 </w:t>
      </w:r>
      <w:r>
        <w:rPr>
          <w:rFonts w:ascii="Microsoft YaHei" w:hAnsi="Microsoft YaHei"/>
          <w:b/>
          <w:color w:val="1A1A1A"/>
        </w:rPr>
        <w:t>15.62 元</w:t>
      </w:r>
      <w:r>
        <w:rPr>
          <w:rFonts w:ascii="Microsoft YaHei" w:hAnsi="Microsoft YaHei"/>
        </w:rPr>
        <w:t xml:space="preserve">，全天振幅 </w:t>
      </w:r>
      <w:r>
        <w:rPr>
          <w:rFonts w:ascii="Microsoft YaHei" w:hAnsi="Microsoft YaHei"/>
          <w:b/>
          <w:color w:val="1A1A1A"/>
        </w:rPr>
        <w:t>9.3%</w:t>
      </w:r>
      <w:r>
        <w:rPr>
          <w:rFonts w:ascii="Microsoft YaHei" w:hAnsi="Microsoft YaHei"/>
        </w:rPr>
        <w:t>，属于强势拉升型涨停</w:t>
      </w:r>
    </w:p>
    <w:p>
      <w:pPr>
        <w:spacing w:before="280" w:after="80" w:line="312" w:lineRule="auto"/>
      </w:pPr>
      <w:r>
        <w:rPr>
          <w:rFonts w:ascii="Microsoft YaHei" w:hAnsi="Microsoft YaHei"/>
          <w:b/>
          <w:color w:val="333333"/>
          <w:sz w:val="24"/>
        </w:rPr>
        <w:t>估值变化</w:t>
      </w:r>
    </w:p>
    <w:p>
      <w:r>
        <w:rPr>
          <w:rFonts w:ascii="Microsoft YaHei" w:hAnsi="Microsoft YaHei"/>
        </w:rPr>
        <w:t xml:space="preserve">涨停后动态市盈率降至 </w:t>
      </w:r>
      <w:r>
        <w:rPr>
          <w:rFonts w:ascii="Microsoft YaHei" w:hAnsi="Microsoft YaHei"/>
          <w:b/>
          <w:color w:val="1A1A1A"/>
        </w:rPr>
        <w:t>21.42</w:t>
      </w:r>
      <w:r>
        <w:rPr>
          <w:rFonts w:ascii="Microsoft YaHei" w:hAnsi="Microsoft YaHei"/>
        </w:rPr>
        <w:t xml:space="preserve">（上日终为 </w:t>
      </w:r>
      <w:r>
        <w:rPr>
          <w:rFonts w:ascii="Microsoft YaHei" w:hAnsi="Microsoft YaHei"/>
          <w:b/>
          <w:color w:val="1A1A1A"/>
        </w:rPr>
        <w:t>25.98</w:t>
      </w:r>
      <w:r>
        <w:rPr>
          <w:rFonts w:ascii="Microsoft YaHei" w:hAnsi="Microsoft YaHei"/>
        </w:rPr>
        <w:t xml:space="preserve">），市净率升至 </w:t>
      </w:r>
      <w:r>
        <w:rPr>
          <w:rFonts w:ascii="Microsoft YaHei" w:hAnsi="Microsoft YaHei"/>
          <w:b/>
          <w:color w:val="1A1A1A"/>
        </w:rPr>
        <w:t>1.02</w:t>
      </w:r>
      <w:r>
        <w:rPr>
          <w:rFonts w:ascii="Microsoft YaHei" w:hAnsi="Microsoft YaHei"/>
        </w:rPr>
        <w:t xml:space="preserve">（上日终为 </w:t>
      </w:r>
      <w:r>
        <w:rPr>
          <w:rFonts w:ascii="Microsoft YaHei" w:hAnsi="Microsoft YaHei"/>
          <w:b/>
          <w:color w:val="1A1A1A"/>
        </w:rPr>
        <w:t>0.93</w:t>
      </w:r>
      <w:r>
        <w:rPr>
          <w:rFonts w:ascii="Microsoft YaHei" w:hAnsi="Microsoft YaHei"/>
        </w:rPr>
        <w:t>）。PB 刚刚回归净资产上方，从估值角度看仍处于合理偏低区间。</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资金面</w:t>
      </w:r>
    </w:p>
    <w:p>
      <w:pPr>
        <w:spacing w:before="280" w:after="80" w:line="312" w:lineRule="auto"/>
      </w:pPr>
      <w:r>
        <w:rPr>
          <w:rFonts w:ascii="Microsoft YaHei" w:hAnsi="Microsoft YaHei"/>
          <w:b/>
          <w:color w:val="333333"/>
          <w:sz w:val="24"/>
        </w:rPr>
        <w:t>今日盘中资金流向（逐分钟统计）</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数值</w:t>
            </w:r>
          </w:p>
        </w:tc>
      </w:tr>
      <w:tr>
        <w:tc>
          <w:tcPr>
            <w:tcW w:type="dxa" w:w="4533"/>
          </w:tcPr>
          <w:p>
            <w:pPr>
              <w:spacing w:before="40" w:after="40" w:line="288" w:lineRule="auto"/>
            </w:pPr>
            <w:r/>
            <w:r>
              <w:rPr>
                <w:rFonts w:ascii="Microsoft YaHei" w:hAnsi="Microsoft YaHei"/>
                <w:sz w:val="18"/>
              </w:rPr>
              <w:t>净流向</w:t>
            </w:r>
          </w:p>
        </w:tc>
        <w:tc>
          <w:tcPr>
            <w:tcW w:type="dxa" w:w="4533"/>
          </w:tcPr>
          <w:p>
            <w:pPr>
              <w:spacing w:before="40" w:after="40" w:line="288" w:lineRule="auto"/>
            </w:pPr>
            <w:r/>
            <w:r>
              <w:rPr>
                <w:rFonts w:ascii="Microsoft YaHei" w:hAnsi="Microsoft YaHei"/>
                <w:b/>
                <w:color w:val="1A1A1A"/>
                <w:sz w:val="18"/>
              </w:rPr>
              <w:t>净流入 8,091.16 万元</w:t>
            </w:r>
          </w:p>
        </w:tc>
      </w:tr>
      <w:tr>
        <w:tc>
          <w:tcPr>
            <w:tcW w:type="dxa" w:w="4533"/>
            <w:shd w:fill="F8F9FA" w:val="clear"/>
          </w:tcPr>
          <w:p>
            <w:pPr>
              <w:spacing w:before="40" w:after="40" w:line="288" w:lineRule="auto"/>
            </w:pPr>
            <w:r/>
            <w:r>
              <w:rPr>
                <w:rFonts w:ascii="Microsoft YaHei" w:hAnsi="Microsoft YaHei"/>
                <w:sz w:val="18"/>
              </w:rPr>
              <w:t>资金流入分钟数</w:t>
            </w:r>
          </w:p>
        </w:tc>
        <w:tc>
          <w:tcPr>
            <w:tcW w:type="dxa" w:w="4533"/>
            <w:shd w:fill="F8F9FA" w:val="clear"/>
          </w:tcPr>
          <w:p>
            <w:pPr>
              <w:spacing w:before="40" w:after="40" w:line="288" w:lineRule="auto"/>
            </w:pPr>
            <w:r/>
            <w:r>
              <w:rPr>
                <w:rFonts w:ascii="Microsoft YaHei" w:hAnsi="Microsoft YaHei"/>
                <w:b/>
                <w:color w:val="1A1A1A"/>
                <w:sz w:val="18"/>
              </w:rPr>
              <w:t>134 分钟</w:t>
            </w:r>
            <w:r>
              <w:rPr>
                <w:rFonts w:ascii="Microsoft YaHei" w:hAnsi="Microsoft YaHei"/>
                <w:sz w:val="18"/>
              </w:rPr>
              <w:t>（占统计分钟数 64.7%）</w:t>
            </w:r>
          </w:p>
        </w:tc>
      </w:tr>
      <w:tr>
        <w:tc>
          <w:tcPr>
            <w:tcW w:type="dxa" w:w="4533"/>
          </w:tcPr>
          <w:p>
            <w:pPr>
              <w:spacing w:before="40" w:after="40" w:line="288" w:lineRule="auto"/>
            </w:pPr>
            <w:r/>
            <w:r>
              <w:rPr>
                <w:rFonts w:ascii="Microsoft YaHei" w:hAnsi="Microsoft YaHei"/>
                <w:sz w:val="18"/>
              </w:rPr>
              <w:t>资金流出分钟数</w:t>
            </w:r>
          </w:p>
        </w:tc>
        <w:tc>
          <w:tcPr>
            <w:tcW w:type="dxa" w:w="4533"/>
          </w:tcPr>
          <w:p>
            <w:pPr>
              <w:spacing w:before="40" w:after="40" w:line="288" w:lineRule="auto"/>
            </w:pPr>
            <w:r/>
            <w:r>
              <w:rPr>
                <w:rFonts w:ascii="Microsoft YaHei" w:hAnsi="Microsoft YaHei"/>
                <w:b/>
                <w:color w:val="1A1A1A"/>
                <w:sz w:val="18"/>
              </w:rPr>
              <w:t>72 分钟</w:t>
            </w:r>
            <w:r>
              <w:rPr>
                <w:rFonts w:ascii="Microsoft YaHei" w:hAnsi="Microsoft YaHei"/>
                <w:sz w:val="18"/>
              </w:rPr>
              <w:t>（占统计分钟数 35.3%）</w:t>
            </w:r>
          </w:p>
        </w:tc>
      </w:tr>
      <w:tr>
        <w:tc>
          <w:tcPr>
            <w:tcW w:type="dxa" w:w="4533"/>
            <w:shd w:fill="F8F9FA" w:val="clear"/>
          </w:tcPr>
          <w:p>
            <w:pPr>
              <w:spacing w:before="40" w:after="40" w:line="288" w:lineRule="auto"/>
            </w:pPr>
            <w:r/>
            <w:r>
              <w:rPr>
                <w:rFonts w:ascii="Microsoft YaHei" w:hAnsi="Microsoft YaHei"/>
                <w:sz w:val="18"/>
              </w:rPr>
              <w:t>最大单分钟流入</w:t>
            </w:r>
          </w:p>
        </w:tc>
        <w:tc>
          <w:tcPr>
            <w:tcW w:type="dxa" w:w="4533"/>
            <w:shd w:fill="F8F9FA" w:val="clear"/>
          </w:tcPr>
          <w:p>
            <w:pPr>
              <w:spacing w:before="40" w:after="40" w:line="288" w:lineRule="auto"/>
            </w:pPr>
            <w:r/>
            <w:r>
              <w:rPr>
                <w:rFonts w:ascii="Microsoft YaHei" w:hAnsi="Microsoft YaHei"/>
                <w:b/>
                <w:color w:val="1A1A1A"/>
                <w:sz w:val="18"/>
              </w:rPr>
              <w:t>445.0 万元</w:t>
            </w:r>
          </w:p>
        </w:tc>
      </w:tr>
      <w:tr>
        <w:tc>
          <w:tcPr>
            <w:tcW w:type="dxa" w:w="4533"/>
          </w:tcPr>
          <w:p>
            <w:pPr>
              <w:spacing w:before="40" w:after="40" w:line="288" w:lineRule="auto"/>
            </w:pPr>
            <w:r/>
            <w:r>
              <w:rPr>
                <w:rFonts w:ascii="Microsoft YaHei" w:hAnsi="Microsoft YaHei"/>
                <w:sz w:val="18"/>
              </w:rPr>
              <w:t>最大单分钟流出</w:t>
            </w:r>
          </w:p>
        </w:tc>
        <w:tc>
          <w:tcPr>
            <w:tcW w:type="dxa" w:w="4533"/>
          </w:tcPr>
          <w:p>
            <w:pPr>
              <w:spacing w:before="40" w:after="40" w:line="288" w:lineRule="auto"/>
            </w:pPr>
            <w:r/>
            <w:r>
              <w:rPr>
                <w:rFonts w:ascii="Microsoft YaHei" w:hAnsi="Microsoft YaHei"/>
                <w:b/>
                <w:color w:val="1A1A1A"/>
                <w:sz w:val="18"/>
              </w:rPr>
              <w:t>176.4 万元</w:t>
            </w:r>
          </w:p>
        </w:tc>
      </w:tr>
    </w:tbl>
    <w:p/>
    <w:p>
      <w:r>
        <w:rPr>
          <w:rFonts w:ascii="Microsoft YaHei" w:hAnsi="Microsoft YaHei"/>
          <w:b/>
          <w:color w:val="1A1A1A"/>
        </w:rPr>
        <w:t>资金面解读：</w:t>
      </w:r>
      <w:r>
        <w:rPr>
          <w:rFonts w:ascii="Microsoft YaHei" w:hAnsi="Microsoft YaHei"/>
        </w:rPr>
        <w:t xml:space="preserve"> 净流入超 </w:t>
      </w:r>
      <w:r>
        <w:rPr>
          <w:rFonts w:ascii="Microsoft YaHei" w:hAnsi="Microsoft YaHei"/>
          <w:b/>
          <w:color w:val="1A1A1A"/>
        </w:rPr>
        <w:t>8,000 万元</w:t>
      </w:r>
      <w:r>
        <w:rPr>
          <w:rFonts w:ascii="Microsoft YaHei" w:hAnsi="Microsoft YaHei"/>
        </w:rPr>
        <w:t xml:space="preserve">，流入时长占比近 </w:t>
      </w:r>
      <w:r>
        <w:rPr>
          <w:rFonts w:ascii="Microsoft YaHei" w:hAnsi="Microsoft YaHei"/>
          <w:b/>
          <w:color w:val="1A1A1A"/>
        </w:rPr>
        <w:t>2/3</w:t>
      </w:r>
      <w:r>
        <w:rPr>
          <w:rFonts w:ascii="Microsoft YaHei" w:hAnsi="Microsoft YaHei"/>
        </w:rPr>
        <w:t>，且最大单分钟流入（445万）显著大于流出（176万），说明主力资金今日以主动买入为主，控盘意愿明确。</w:t>
      </w:r>
    </w:p>
    <w:p>
      <w:pPr>
        <w:spacing w:before="280" w:after="80" w:line="312" w:lineRule="auto"/>
      </w:pPr>
      <w:r>
        <w:rPr>
          <w:rFonts w:ascii="Microsoft YaHei" w:hAnsi="Microsoft YaHei"/>
          <w:b/>
          <w:color w:val="333333"/>
          <w:sz w:val="24"/>
        </w:rPr>
        <w:t>上一交易日资金细分（元）</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类型</w:t>
            </w:r>
          </w:p>
        </w:tc>
        <w:tc>
          <w:tcPr>
            <w:tcW w:type="dxa" w:w="2266"/>
            <w:shd w:fill="F6F8FA" w:val="clear"/>
          </w:tcPr>
          <w:p>
            <w:pPr>
              <w:spacing w:before="40" w:after="40" w:line="288" w:lineRule="auto"/>
            </w:pPr>
            <w:r/>
            <w:r>
              <w:rPr>
                <w:rFonts w:ascii="Microsoft YaHei" w:hAnsi="Microsoft YaHei"/>
                <w:b/>
                <w:color w:val="1A1A1A"/>
                <w:sz w:val="18"/>
              </w:rPr>
              <w:t>净额</w:t>
            </w:r>
          </w:p>
        </w:tc>
        <w:tc>
          <w:tcPr>
            <w:tcW w:type="dxa" w:w="2266"/>
            <w:shd w:fill="F6F8FA" w:val="clear"/>
          </w:tcPr>
          <w:p>
            <w:pPr>
              <w:spacing w:before="40" w:after="40" w:line="288" w:lineRule="auto"/>
            </w:pPr>
            <w:r/>
            <w:r>
              <w:rPr>
                <w:rFonts w:ascii="Microsoft YaHei" w:hAnsi="Microsoft YaHei"/>
                <w:b/>
                <w:color w:val="1A1A1A"/>
                <w:sz w:val="18"/>
              </w:rPr>
              <w:t>买入</w:t>
            </w:r>
          </w:p>
        </w:tc>
        <w:tc>
          <w:tcPr>
            <w:tcW w:type="dxa" w:w="2266"/>
            <w:shd w:fill="F6F8FA" w:val="clear"/>
          </w:tcPr>
          <w:p>
            <w:pPr>
              <w:spacing w:before="40" w:after="40" w:line="288" w:lineRule="auto"/>
            </w:pPr>
            <w:r/>
            <w:r>
              <w:rPr>
                <w:rFonts w:ascii="Microsoft YaHei" w:hAnsi="Microsoft YaHei"/>
                <w:b/>
                <w:color w:val="1A1A1A"/>
                <w:sz w:val="18"/>
              </w:rPr>
              <w:t>卖出</w:t>
            </w:r>
          </w:p>
        </w:tc>
      </w:tr>
      <w:tr>
        <w:tc>
          <w:tcPr>
            <w:tcW w:type="dxa" w:w="2266"/>
          </w:tcPr>
          <w:p>
            <w:pPr>
              <w:spacing w:before="40" w:after="40" w:line="288" w:lineRule="auto"/>
            </w:pPr>
            <w:r/>
            <w:r>
              <w:rPr>
                <w:rFonts w:ascii="Microsoft YaHei" w:hAnsi="Microsoft YaHei"/>
                <w:b/>
                <w:color w:val="1A1A1A"/>
                <w:sz w:val="18"/>
              </w:rPr>
              <w:t>大单</w:t>
            </w:r>
          </w:p>
        </w:tc>
        <w:tc>
          <w:tcPr>
            <w:tcW w:type="dxa" w:w="2266"/>
          </w:tcPr>
          <w:p>
            <w:pPr>
              <w:spacing w:before="40" w:after="40" w:line="288" w:lineRule="auto"/>
            </w:pPr>
            <w:r/>
            <w:r>
              <w:rPr>
                <w:rFonts w:ascii="Microsoft YaHei" w:hAnsi="Microsoft YaHei"/>
                <w:b/>
                <w:color w:val="1A1A1A"/>
                <w:sz w:val="18"/>
              </w:rPr>
              <w:t>+24,570,719</w:t>
            </w:r>
          </w:p>
        </w:tc>
        <w:tc>
          <w:tcPr>
            <w:tcW w:type="dxa" w:w="2266"/>
          </w:tcPr>
          <w:p>
            <w:pPr>
              <w:spacing w:before="40" w:after="40" w:line="288" w:lineRule="auto"/>
            </w:pPr>
            <w:r/>
            <w:r>
              <w:rPr>
                <w:rFonts w:ascii="Microsoft YaHei" w:hAnsi="Microsoft YaHei"/>
                <w:sz w:val="18"/>
              </w:rPr>
              <w:t>40,545,615</w:t>
            </w:r>
          </w:p>
        </w:tc>
        <w:tc>
          <w:tcPr>
            <w:tcW w:type="dxa" w:w="2266"/>
          </w:tcPr>
          <w:p>
            <w:pPr>
              <w:spacing w:before="40" w:after="40" w:line="288" w:lineRule="auto"/>
            </w:pPr>
            <w:r/>
            <w:r>
              <w:rPr>
                <w:rFonts w:ascii="Microsoft YaHei" w:hAnsi="Microsoft YaHei"/>
                <w:sz w:val="18"/>
              </w:rPr>
              <w:t>15,974,896</w:t>
            </w:r>
          </w:p>
        </w:tc>
      </w:tr>
      <w:tr>
        <w:tc>
          <w:tcPr>
            <w:tcW w:type="dxa" w:w="2266"/>
            <w:shd w:fill="F8F9FA" w:val="clear"/>
          </w:tcPr>
          <w:p>
            <w:pPr>
              <w:spacing w:before="40" w:after="40" w:line="288" w:lineRule="auto"/>
            </w:pPr>
            <w:r/>
            <w:r>
              <w:rPr>
                <w:rFonts w:ascii="Microsoft YaHei" w:hAnsi="Microsoft YaHei"/>
                <w:b/>
                <w:color w:val="1A1A1A"/>
                <w:sz w:val="18"/>
              </w:rPr>
              <w:t>中单</w:t>
            </w:r>
          </w:p>
        </w:tc>
        <w:tc>
          <w:tcPr>
            <w:tcW w:type="dxa" w:w="2266"/>
            <w:shd w:fill="F8F9FA" w:val="clear"/>
          </w:tcPr>
          <w:p>
            <w:pPr>
              <w:spacing w:before="40" w:after="40" w:line="288" w:lineRule="auto"/>
            </w:pPr>
            <w:r/>
            <w:r>
              <w:rPr>
                <w:rFonts w:ascii="Microsoft YaHei" w:hAnsi="Microsoft YaHei"/>
                <w:b/>
                <w:color w:val="1A1A1A"/>
                <w:sz w:val="18"/>
              </w:rPr>
              <w:t>+46,378,675</w:t>
            </w:r>
          </w:p>
        </w:tc>
        <w:tc>
          <w:tcPr>
            <w:tcW w:type="dxa" w:w="2266"/>
            <w:shd w:fill="F8F9FA" w:val="clear"/>
          </w:tcPr>
          <w:p>
            <w:pPr>
              <w:spacing w:before="40" w:after="40" w:line="288" w:lineRule="auto"/>
            </w:pPr>
            <w:r/>
            <w:r>
              <w:rPr>
                <w:rFonts w:ascii="Microsoft YaHei" w:hAnsi="Microsoft YaHei"/>
                <w:sz w:val="18"/>
              </w:rPr>
              <w:t>127,742,304</w:t>
            </w:r>
          </w:p>
        </w:tc>
        <w:tc>
          <w:tcPr>
            <w:tcW w:type="dxa" w:w="2266"/>
            <w:shd w:fill="F8F9FA" w:val="clear"/>
          </w:tcPr>
          <w:p>
            <w:pPr>
              <w:spacing w:before="40" w:after="40" w:line="288" w:lineRule="auto"/>
            </w:pPr>
            <w:r/>
            <w:r>
              <w:rPr>
                <w:rFonts w:ascii="Microsoft YaHei" w:hAnsi="Microsoft YaHei"/>
                <w:sz w:val="18"/>
              </w:rPr>
              <w:t>81,363,629</w:t>
            </w:r>
          </w:p>
        </w:tc>
      </w:tr>
      <w:tr>
        <w:tc>
          <w:tcPr>
            <w:tcW w:type="dxa" w:w="2266"/>
          </w:tcPr>
          <w:p>
            <w:pPr>
              <w:spacing w:before="40" w:after="40" w:line="288" w:lineRule="auto"/>
            </w:pPr>
            <w:r/>
            <w:r>
              <w:rPr>
                <w:rFonts w:ascii="Microsoft YaHei" w:hAnsi="Microsoft YaHei"/>
                <w:b/>
                <w:color w:val="1A1A1A"/>
                <w:sz w:val="18"/>
              </w:rPr>
              <w:t>小单</w:t>
            </w:r>
          </w:p>
        </w:tc>
        <w:tc>
          <w:tcPr>
            <w:tcW w:type="dxa" w:w="2266"/>
          </w:tcPr>
          <w:p>
            <w:pPr>
              <w:spacing w:before="40" w:after="40" w:line="288" w:lineRule="auto"/>
            </w:pPr>
            <w:r/>
            <w:r>
              <w:rPr>
                <w:rFonts w:ascii="Microsoft YaHei" w:hAnsi="Microsoft YaHei"/>
                <w:b/>
                <w:color w:val="1A1A1A"/>
                <w:sz w:val="18"/>
              </w:rPr>
              <w:t>+10,477,811</w:t>
            </w:r>
          </w:p>
        </w:tc>
        <w:tc>
          <w:tcPr>
            <w:tcW w:type="dxa" w:w="2266"/>
          </w:tcPr>
          <w:p>
            <w:pPr>
              <w:spacing w:before="40" w:after="40" w:line="288" w:lineRule="auto"/>
            </w:pPr>
            <w:r/>
            <w:r>
              <w:rPr>
                <w:rFonts w:ascii="Microsoft YaHei" w:hAnsi="Microsoft YaHei"/>
                <w:sz w:val="18"/>
              </w:rPr>
              <w:t>41,159,813</w:t>
            </w:r>
          </w:p>
        </w:tc>
        <w:tc>
          <w:tcPr>
            <w:tcW w:type="dxa" w:w="2266"/>
          </w:tcPr>
          <w:p>
            <w:pPr>
              <w:spacing w:before="40" w:after="40" w:line="288" w:lineRule="auto"/>
            </w:pPr>
            <w:r/>
            <w:r>
              <w:rPr>
                <w:rFonts w:ascii="Microsoft YaHei" w:hAnsi="Microsoft YaHei"/>
                <w:sz w:val="18"/>
              </w:rPr>
              <w:t>30,682,002</w:t>
            </w:r>
          </w:p>
        </w:tc>
      </w:tr>
      <w:tr>
        <w:tc>
          <w:tcPr>
            <w:tcW w:type="dxa" w:w="2266"/>
            <w:shd w:fill="F8F9FA" w:val="clear"/>
          </w:tcPr>
          <w:p>
            <w:pPr>
              <w:spacing w:before="40" w:after="40" w:line="288" w:lineRule="auto"/>
            </w:pPr>
            <w:r/>
            <w:r>
              <w:rPr>
                <w:rFonts w:ascii="Microsoft YaHei" w:hAnsi="Microsoft YaHei"/>
                <w:b/>
                <w:color w:val="1A1A1A"/>
                <w:sz w:val="18"/>
              </w:rPr>
              <w:t>合计</w:t>
            </w:r>
          </w:p>
        </w:tc>
        <w:tc>
          <w:tcPr>
            <w:tcW w:type="dxa" w:w="2266"/>
            <w:shd w:fill="F8F9FA" w:val="clear"/>
          </w:tcPr>
          <w:p>
            <w:pPr>
              <w:spacing w:before="40" w:after="40" w:line="288" w:lineRule="auto"/>
            </w:pPr>
            <w:r/>
            <w:r>
              <w:rPr>
                <w:rFonts w:ascii="Microsoft YaHei" w:hAnsi="Microsoft YaHei"/>
                <w:b/>
                <w:color w:val="1A1A1A"/>
                <w:sz w:val="18"/>
              </w:rPr>
              <w:t>+81,427,205</w:t>
            </w:r>
          </w:p>
        </w:tc>
        <w:tc>
          <w:tcPr>
            <w:tcW w:type="dxa" w:w="2266"/>
            <w:shd w:fill="F8F9FA" w:val="clear"/>
          </w:tcPr>
          <w:p>
            <w:pPr>
              <w:spacing w:before="40" w:after="40" w:line="288" w:lineRule="auto"/>
            </w:pPr>
            <w:r/>
            <w:r>
              <w:rPr>
                <w:rFonts w:ascii="Microsoft YaHei" w:hAnsi="Microsoft YaHei"/>
                <w:sz w:val="18"/>
              </w:rPr>
              <w:t>—</w:t>
            </w:r>
          </w:p>
        </w:tc>
        <w:tc>
          <w:tcPr>
            <w:tcW w:type="dxa" w:w="2266"/>
            <w:shd w:fill="F8F9FA" w:val="clear"/>
          </w:tcPr>
          <w:p>
            <w:pPr>
              <w:spacing w:before="40" w:after="40" w:line="288" w:lineRule="auto"/>
            </w:pPr>
            <w:r/>
            <w:r>
              <w:rPr>
                <w:rFonts w:ascii="Microsoft YaHei" w:hAnsi="Microsoft YaHei"/>
                <w:sz w:val="18"/>
              </w:rPr>
              <w:t>—</w:t>
            </w:r>
          </w:p>
        </w:tc>
      </w:tr>
    </w:tbl>
    <w:p/>
    <w:p>
      <w:r>
        <w:rPr>
          <w:rFonts w:ascii="Microsoft YaHei" w:hAnsi="Microsoft YaHei"/>
        </w:rPr>
        <w:t xml:space="preserve">上一交易日三大资金类型净额均为正，合计净流入 </w:t>
      </w:r>
      <w:r>
        <w:rPr>
          <w:rFonts w:ascii="Microsoft YaHei" w:hAnsi="Microsoft YaHei"/>
          <w:b/>
          <w:color w:val="1A1A1A"/>
        </w:rPr>
        <w:t>8,142 万元</w:t>
      </w:r>
      <w:r>
        <w:rPr>
          <w:rFonts w:ascii="Microsoft YaHei" w:hAnsi="Microsoft YaHei"/>
        </w:rPr>
        <w:t>，</w:t>
      </w:r>
      <w:r>
        <w:rPr>
          <w:rFonts w:ascii="Microsoft YaHei" w:hAnsi="Microsoft YaHei"/>
          <w:b/>
          <w:color w:val="1A1A1A"/>
        </w:rPr>
        <w:t>大单与中单为主导</w:t>
      </w:r>
      <w:r>
        <w:rPr>
          <w:rFonts w:ascii="Microsoft YaHei" w:hAnsi="Microsoft YaHei"/>
        </w:rPr>
        <w:t>，显示机构与游资已在昨日提前布局。</w:t>
      </w:r>
    </w:p>
    <w:p>
      <w:pPr>
        <w:spacing w:before="280" w:after="80" w:line="312" w:lineRule="auto"/>
      </w:pPr>
      <w:r>
        <w:rPr>
          <w:rFonts w:ascii="Microsoft YaHei" w:hAnsi="Microsoft YaHei"/>
          <w:b/>
          <w:color w:val="333333"/>
          <w:sz w:val="24"/>
        </w:rPr>
        <w:t>融资融券（上一交易日终）</w:t>
      </w:r>
    </w:p>
    <w:p>
      <w:pPr>
        <w:pStyle w:val="ListBullet"/>
      </w:pPr>
      <w:r>
        <w:rPr>
          <w:rFonts w:ascii="Microsoft YaHei" w:hAnsi="Microsoft YaHei"/>
        </w:rPr>
        <w:t>融资余额：</w:t>
      </w:r>
      <w:r>
        <w:rPr>
          <w:rFonts w:ascii="Microsoft YaHei" w:hAnsi="Microsoft YaHei"/>
          <w:b/>
          <w:color w:val="1A1A1A"/>
        </w:rPr>
        <w:t>3.77 亿</w:t>
      </w:r>
      <w:r>
        <w:rPr>
          <w:rFonts w:ascii="Microsoft YaHei" w:hAnsi="Microsoft YaHei"/>
        </w:rPr>
        <w:t xml:space="preserve">（较前日 </w:t>
      </w:r>
      <w:r>
        <w:rPr>
          <w:rFonts w:ascii="Microsoft YaHei" w:hAnsi="Microsoft YaHei"/>
          <w:b/>
          <w:color w:val="1A1A1A"/>
        </w:rPr>
        <w:t>+3.23%</w:t>
      </w:r>
      <w:r>
        <w:rPr>
          <w:rFonts w:ascii="Microsoft YaHei" w:hAnsi="Microsoft YaHei"/>
        </w:rPr>
        <w:t xml:space="preserve">），占流通市值 </w:t>
      </w:r>
      <w:r>
        <w:rPr>
          <w:rFonts w:ascii="Microsoft YaHei" w:hAnsi="Microsoft YaHei"/>
          <w:b/>
          <w:color w:val="1A1A1A"/>
        </w:rPr>
        <w:t>0.96%</w:t>
      </w:r>
      <w:r>
        <w:rPr>
          <w:rFonts w:ascii="Microsoft YaHei" w:hAnsi="Microsoft YaHei"/>
        </w:rPr>
        <w:t xml:space="preserve">，超过近一年 </w:t>
      </w:r>
      <w:r>
        <w:rPr>
          <w:rFonts w:ascii="Microsoft YaHei" w:hAnsi="Microsoft YaHei"/>
          <w:b/>
          <w:color w:val="1A1A1A"/>
        </w:rPr>
        <w:t>60%</w:t>
      </w:r>
      <w:r>
        <w:rPr>
          <w:rFonts w:ascii="Microsoft YaHei" w:hAnsi="Microsoft YaHei"/>
        </w:rPr>
        <w:t xml:space="preserve"> 分位水平</w:t>
      </w:r>
    </w:p>
    <w:p>
      <w:pPr>
        <w:pStyle w:val="ListBullet"/>
      </w:pPr>
      <w:r>
        <w:rPr>
          <w:rFonts w:ascii="Microsoft YaHei" w:hAnsi="Microsoft YaHei"/>
        </w:rPr>
        <w:t>融券余额：</w:t>
      </w:r>
      <w:r>
        <w:rPr>
          <w:rFonts w:ascii="Microsoft YaHei" w:hAnsi="Microsoft YaHei"/>
          <w:b/>
          <w:color w:val="1A1A1A"/>
        </w:rPr>
        <w:t>0.09 亿</w:t>
      </w:r>
      <w:r>
        <w:rPr>
          <w:rFonts w:ascii="Microsoft YaHei" w:hAnsi="Microsoft YaHei"/>
        </w:rPr>
        <w:t xml:space="preserve">（较前日 </w:t>
      </w:r>
      <w:r>
        <w:rPr>
          <w:rFonts w:ascii="Microsoft YaHei" w:hAnsi="Microsoft YaHei"/>
          <w:b/>
          <w:color w:val="1A1A1A"/>
        </w:rPr>
        <w:t>-0.61%</w:t>
      </w:r>
      <w:r>
        <w:rPr>
          <w:rFonts w:ascii="Microsoft YaHei" w:hAnsi="Microsoft YaHei"/>
        </w:rPr>
        <w:t>）</w:t>
      </w:r>
    </w:p>
    <w:p>
      <w:r>
        <w:rPr>
          <w:rFonts w:ascii="Microsoft YaHei" w:hAnsi="Microsoft YaHei"/>
        </w:rPr>
        <w:t>融资余额小幅增加、融券余额微降，杠杆资金方向偏多，但整体规模不大，尚未出现极端投机情绪。</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技术面</w:t>
      </w:r>
    </w:p>
    <w:p>
      <w:pPr>
        <w:spacing w:before="280" w:after="80" w:line="312" w:lineRule="auto"/>
      </w:pPr>
      <w:r>
        <w:rPr>
          <w:rFonts w:ascii="Microsoft YaHei" w:hAnsi="Microsoft YaHei"/>
          <w:b/>
          <w:color w:val="333333"/>
          <w:sz w:val="24"/>
        </w:rPr>
        <w:t>均线系统</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均线</w:t>
            </w:r>
          </w:p>
        </w:tc>
        <w:tc>
          <w:tcPr>
            <w:tcW w:type="dxa" w:w="3022"/>
            <w:shd w:fill="F6F8FA" w:val="clear"/>
          </w:tcPr>
          <w:p>
            <w:pPr>
              <w:spacing w:before="40" w:after="40" w:line="288" w:lineRule="auto"/>
            </w:pPr>
            <w:r/>
            <w:r>
              <w:rPr>
                <w:rFonts w:ascii="Microsoft YaHei" w:hAnsi="Microsoft YaHei"/>
                <w:b/>
                <w:color w:val="1A1A1A"/>
                <w:sz w:val="18"/>
              </w:rPr>
              <w:t>位置</w:t>
            </w:r>
          </w:p>
        </w:tc>
        <w:tc>
          <w:tcPr>
            <w:tcW w:type="dxa" w:w="3022"/>
            <w:shd w:fill="F6F8FA" w:val="clear"/>
          </w:tcPr>
          <w:p>
            <w:pPr>
              <w:spacing w:before="40" w:after="40" w:line="288" w:lineRule="auto"/>
            </w:pPr>
            <w:r/>
            <w:r>
              <w:rPr>
                <w:rFonts w:ascii="Microsoft YaHei" w:hAnsi="Microsoft YaHei"/>
                <w:b/>
                <w:color w:val="1A1A1A"/>
                <w:sz w:val="18"/>
              </w:rPr>
              <w:t>当前价偏离度</w:t>
            </w:r>
          </w:p>
        </w:tc>
      </w:tr>
      <w:tr>
        <w:tc>
          <w:tcPr>
            <w:tcW w:type="dxa" w:w="3022"/>
          </w:tcPr>
          <w:p>
            <w:pPr>
              <w:spacing w:before="40" w:after="40" w:line="288" w:lineRule="auto"/>
            </w:pPr>
            <w:r/>
            <w:r>
              <w:rPr>
                <w:rFonts w:ascii="Microsoft YaHei" w:hAnsi="Microsoft YaHei"/>
                <w:sz w:val="18"/>
              </w:rPr>
              <w:t>MA5（约 15.03 元）</w:t>
            </w:r>
          </w:p>
        </w:tc>
        <w:tc>
          <w:tcPr>
            <w:tcW w:type="dxa" w:w="3022"/>
          </w:tcPr>
          <w:p>
            <w:pPr>
              <w:spacing w:before="40" w:after="40" w:line="288" w:lineRule="auto"/>
            </w:pPr>
            <w:r/>
            <w:r>
              <w:rPr>
                <w:rFonts w:ascii="Microsoft YaHei" w:hAnsi="Microsoft YaHei"/>
                <w:sz w:val="18"/>
              </w:rPr>
              <w:t>位于均线上方</w:t>
            </w:r>
          </w:p>
        </w:tc>
        <w:tc>
          <w:tcPr>
            <w:tcW w:type="dxa" w:w="3022"/>
          </w:tcPr>
          <w:p>
            <w:pPr>
              <w:spacing w:before="40" w:after="40" w:line="288" w:lineRule="auto"/>
            </w:pPr>
            <w:r/>
            <w:r>
              <w:rPr>
                <w:rFonts w:ascii="Microsoft YaHei" w:hAnsi="Microsoft YaHei"/>
                <w:b/>
                <w:color w:val="1A1A1A"/>
                <w:sz w:val="18"/>
              </w:rPr>
              <w:t>+3.9%</w:t>
            </w:r>
          </w:p>
        </w:tc>
      </w:tr>
      <w:tr>
        <w:tc>
          <w:tcPr>
            <w:tcW w:type="dxa" w:w="3022"/>
            <w:shd w:fill="F8F9FA" w:val="clear"/>
          </w:tcPr>
          <w:p>
            <w:pPr>
              <w:spacing w:before="40" w:after="40" w:line="288" w:lineRule="auto"/>
            </w:pPr>
            <w:r/>
            <w:r>
              <w:rPr>
                <w:rFonts w:ascii="Microsoft YaHei" w:hAnsi="Microsoft YaHei"/>
                <w:sz w:val="18"/>
              </w:rPr>
              <w:t>MA10（约 14.80 元）</w:t>
            </w:r>
          </w:p>
        </w:tc>
        <w:tc>
          <w:tcPr>
            <w:tcW w:type="dxa" w:w="3022"/>
            <w:shd w:fill="F8F9FA" w:val="clear"/>
          </w:tcPr>
          <w:p>
            <w:pPr>
              <w:spacing w:before="40" w:after="40" w:line="288" w:lineRule="auto"/>
            </w:pPr>
            <w:r/>
            <w:r>
              <w:rPr>
                <w:rFonts w:ascii="Microsoft YaHei" w:hAnsi="Microsoft YaHei"/>
                <w:sz w:val="18"/>
              </w:rPr>
              <w:t>位于均线上方</w:t>
            </w:r>
          </w:p>
        </w:tc>
        <w:tc>
          <w:tcPr>
            <w:tcW w:type="dxa" w:w="3022"/>
            <w:shd w:fill="F8F9FA" w:val="clear"/>
          </w:tcPr>
          <w:p>
            <w:pPr>
              <w:spacing w:before="40" w:after="40" w:line="288" w:lineRule="auto"/>
            </w:pPr>
            <w:r/>
            <w:r>
              <w:rPr>
                <w:rFonts w:ascii="Microsoft YaHei" w:hAnsi="Microsoft YaHei"/>
                <w:b/>
                <w:color w:val="1A1A1A"/>
                <w:sz w:val="18"/>
              </w:rPr>
              <w:t>+5.5%</w:t>
            </w:r>
          </w:p>
        </w:tc>
      </w:tr>
      <w:tr>
        <w:tc>
          <w:tcPr>
            <w:tcW w:type="dxa" w:w="3022"/>
          </w:tcPr>
          <w:p>
            <w:pPr>
              <w:spacing w:before="40" w:after="40" w:line="288" w:lineRule="auto"/>
            </w:pPr>
            <w:r/>
            <w:r>
              <w:rPr>
                <w:rFonts w:ascii="Microsoft YaHei" w:hAnsi="Microsoft YaHei"/>
                <w:sz w:val="18"/>
              </w:rPr>
              <w:t>MA20 / 布林中轨（约 14.56 元）</w:t>
            </w:r>
          </w:p>
        </w:tc>
        <w:tc>
          <w:tcPr>
            <w:tcW w:type="dxa" w:w="3022"/>
          </w:tcPr>
          <w:p>
            <w:pPr>
              <w:spacing w:before="40" w:after="40" w:line="288" w:lineRule="auto"/>
            </w:pPr>
            <w:r/>
            <w:r>
              <w:rPr>
                <w:rFonts w:ascii="Microsoft YaHei" w:hAnsi="Microsoft YaHei"/>
                <w:sz w:val="18"/>
              </w:rPr>
              <w:t>位于均线上方</w:t>
            </w:r>
          </w:p>
        </w:tc>
        <w:tc>
          <w:tcPr>
            <w:tcW w:type="dxa" w:w="3022"/>
          </w:tcPr>
          <w:p>
            <w:pPr>
              <w:spacing w:before="40" w:after="40" w:line="288" w:lineRule="auto"/>
            </w:pPr>
            <w:r/>
            <w:r>
              <w:rPr>
                <w:rFonts w:ascii="Microsoft YaHei" w:hAnsi="Microsoft YaHei"/>
                <w:b/>
                <w:color w:val="1A1A1A"/>
                <w:sz w:val="18"/>
              </w:rPr>
              <w:t>+7.3%</w:t>
            </w:r>
          </w:p>
        </w:tc>
      </w:tr>
    </w:tbl>
    <w:p/>
    <w:p>
      <w:pPr>
        <w:spacing w:before="280" w:after="80" w:line="312" w:lineRule="auto"/>
      </w:pPr>
      <w:r>
        <w:rPr>
          <w:rFonts w:ascii="Microsoft YaHei" w:hAnsi="Microsoft YaHei"/>
          <w:b/>
          <w:color w:val="333333"/>
          <w:sz w:val="24"/>
        </w:rPr>
        <w:t>布林带</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指标</w:t>
            </w:r>
          </w:p>
        </w:tc>
        <w:tc>
          <w:tcPr>
            <w:tcW w:type="dxa" w:w="3022"/>
            <w:shd w:fill="F6F8FA" w:val="clear"/>
          </w:tcPr>
          <w:p>
            <w:pPr>
              <w:spacing w:before="40" w:after="40" w:line="288" w:lineRule="auto"/>
            </w:pPr>
            <w:r/>
            <w:r>
              <w:rPr>
                <w:rFonts w:ascii="Microsoft YaHei" w:hAnsi="Microsoft YaHei"/>
                <w:b/>
                <w:color w:val="1A1A1A"/>
                <w:sz w:val="18"/>
              </w:rPr>
              <w:t>数值</w:t>
            </w:r>
          </w:p>
        </w:tc>
        <w:tc>
          <w:tcPr>
            <w:tcW w:type="dxa" w:w="3022"/>
            <w:shd w:fill="F6F8FA" w:val="clear"/>
          </w:tcPr>
          <w:p>
            <w:pPr>
              <w:spacing w:before="40" w:after="40" w:line="288" w:lineRule="auto"/>
            </w:pPr>
            <w:r/>
            <w:r>
              <w:rPr>
                <w:rFonts w:ascii="Microsoft YaHei" w:hAnsi="Microsoft YaHei"/>
                <w:b/>
                <w:color w:val="1A1A1A"/>
                <w:sz w:val="18"/>
              </w:rPr>
              <w:t>状态</w:t>
            </w:r>
          </w:p>
        </w:tc>
      </w:tr>
      <w:tr>
        <w:tc>
          <w:tcPr>
            <w:tcW w:type="dxa" w:w="3022"/>
          </w:tcPr>
          <w:p>
            <w:pPr>
              <w:spacing w:before="40" w:after="40" w:line="288" w:lineRule="auto"/>
            </w:pPr>
            <w:r/>
            <w:r>
              <w:rPr>
                <w:rFonts w:ascii="Microsoft YaHei" w:hAnsi="Microsoft YaHei"/>
                <w:sz w:val="18"/>
              </w:rPr>
              <w:t>布林带上轨</w:t>
            </w:r>
          </w:p>
        </w:tc>
        <w:tc>
          <w:tcPr>
            <w:tcW w:type="dxa" w:w="3022"/>
          </w:tcPr>
          <w:p>
            <w:pPr>
              <w:spacing w:before="40" w:after="40" w:line="288" w:lineRule="auto"/>
            </w:pPr>
            <w:r/>
            <w:r>
              <w:rPr>
                <w:rFonts w:ascii="Microsoft YaHei" w:hAnsi="Microsoft YaHei"/>
                <w:b/>
                <w:color w:val="1A1A1A"/>
                <w:sz w:val="18"/>
              </w:rPr>
              <w:t>15.42 元</w:t>
            </w:r>
          </w:p>
        </w:tc>
        <w:tc>
          <w:tcPr>
            <w:tcW w:type="dxa" w:w="3022"/>
          </w:tcPr>
          <w:p>
            <w:pPr>
              <w:spacing w:before="40" w:after="40" w:line="288" w:lineRule="auto"/>
            </w:pPr>
            <w:r/>
            <w:r>
              <w:rPr>
                <w:rFonts w:ascii="Microsoft YaHei" w:hAnsi="Microsoft YaHei"/>
                <w:sz w:val="18"/>
              </w:rPr>
              <w:t xml:space="preserve">✅ </w:t>
            </w:r>
            <w:r>
              <w:rPr>
                <w:rFonts w:ascii="Microsoft YaHei" w:hAnsi="Microsoft YaHei"/>
                <w:b/>
                <w:color w:val="1A1A1A"/>
                <w:sz w:val="18"/>
              </w:rPr>
              <w:t>已突破上轨</w:t>
            </w:r>
          </w:p>
        </w:tc>
      </w:tr>
      <w:tr>
        <w:tc>
          <w:tcPr>
            <w:tcW w:type="dxa" w:w="3022"/>
            <w:shd w:fill="F8F9FA" w:val="clear"/>
          </w:tcPr>
          <w:p>
            <w:pPr>
              <w:spacing w:before="40" w:after="40" w:line="288" w:lineRule="auto"/>
            </w:pPr>
            <w:r/>
            <w:r>
              <w:rPr>
                <w:rFonts w:ascii="Microsoft YaHei" w:hAnsi="Microsoft YaHei"/>
                <w:sz w:val="18"/>
              </w:rPr>
              <w:t>布林带下轨</w:t>
            </w:r>
          </w:p>
        </w:tc>
        <w:tc>
          <w:tcPr>
            <w:tcW w:type="dxa" w:w="3022"/>
            <w:shd w:fill="F8F9FA" w:val="clear"/>
          </w:tcPr>
          <w:p>
            <w:pPr>
              <w:spacing w:before="40" w:after="40" w:line="288" w:lineRule="auto"/>
            </w:pPr>
            <w:r/>
            <w:r>
              <w:rPr>
                <w:rFonts w:ascii="Microsoft YaHei" w:hAnsi="Microsoft YaHei"/>
                <w:sz w:val="18"/>
              </w:rPr>
              <w:t>13.70 元</w:t>
            </w:r>
          </w:p>
        </w:tc>
        <w:tc>
          <w:tcPr>
            <w:tcW w:type="dxa" w:w="3022"/>
            <w:shd w:fill="F8F9FA" w:val="clear"/>
          </w:tcPr>
          <w:p>
            <w:pPr>
              <w:spacing w:before="40" w:after="40" w:line="288" w:lineRule="auto"/>
            </w:pPr>
            <w:r/>
            <w:r>
              <w:rPr>
                <w:rFonts w:ascii="Microsoft YaHei" w:hAnsi="Microsoft YaHei"/>
                <w:sz w:val="18"/>
              </w:rPr>
              <w:t>—</w:t>
            </w:r>
          </w:p>
        </w:tc>
      </w:tr>
      <w:tr>
        <w:tc>
          <w:tcPr>
            <w:tcW w:type="dxa" w:w="3022"/>
          </w:tcPr>
          <w:p>
            <w:pPr>
              <w:spacing w:before="40" w:after="40" w:line="288" w:lineRule="auto"/>
            </w:pPr>
            <w:r/>
            <w:r>
              <w:rPr>
                <w:rFonts w:ascii="Microsoft YaHei" w:hAnsi="Microsoft YaHei"/>
                <w:sz w:val="18"/>
              </w:rPr>
              <w:t>当前价 15.62 元</w:t>
            </w:r>
          </w:p>
        </w:tc>
        <w:tc>
          <w:tcPr>
            <w:tcW w:type="dxa" w:w="3022"/>
          </w:tcPr>
          <w:p>
            <w:pPr>
              <w:spacing w:before="40" w:after="40" w:line="288" w:lineRule="auto"/>
            </w:pPr>
            <w:r/>
            <w:r>
              <w:rPr>
                <w:rFonts w:ascii="Microsoft YaHei" w:hAnsi="Microsoft YaHei"/>
                <w:sz w:val="18"/>
              </w:rPr>
              <w:t xml:space="preserve">高于上轨 </w:t>
            </w:r>
            <w:r>
              <w:rPr>
                <w:rFonts w:ascii="Microsoft YaHei" w:hAnsi="Microsoft YaHei"/>
                <w:b/>
                <w:color w:val="1A1A1A"/>
                <w:sz w:val="18"/>
              </w:rPr>
              <w:t>0.20 元</w:t>
            </w:r>
          </w:p>
        </w:tc>
        <w:tc>
          <w:tcPr>
            <w:tcW w:type="dxa" w:w="3022"/>
          </w:tcPr>
          <w:p>
            <w:pPr>
              <w:spacing w:before="40" w:after="40" w:line="288" w:lineRule="auto"/>
            </w:pPr>
            <w:r/>
            <w:r>
              <w:rPr>
                <w:rFonts w:ascii="Microsoft YaHei" w:hAnsi="Microsoft YaHei"/>
                <w:sz w:val="18"/>
              </w:rPr>
              <w:t xml:space="preserve">偏离度 </w:t>
            </w:r>
            <w:r>
              <w:rPr>
                <w:rFonts w:ascii="Microsoft YaHei" w:hAnsi="Microsoft YaHei"/>
                <w:b/>
                <w:color w:val="1A1A1A"/>
                <w:sz w:val="18"/>
              </w:rPr>
              <w:t>+1.3%</w:t>
            </w:r>
          </w:p>
        </w:tc>
      </w:tr>
    </w:tbl>
    <w:p/>
    <w:p>
      <w:r>
        <w:rPr>
          <w:rFonts w:ascii="Microsoft YaHei" w:hAnsi="Microsoft YaHei"/>
          <w:b/>
          <w:color w:val="1A1A1A"/>
        </w:rPr>
        <w:t>技术面研判：</w:t>
      </w:r>
      <w:r>
        <w:rPr>
          <w:rFonts w:ascii="Microsoft YaHei" w:hAnsi="Microsoft YaHei"/>
        </w:rPr>
        <w:t xml:space="preserve"> 股价呈</w:t>
      </w:r>
      <w:r>
        <w:rPr>
          <w:rFonts w:ascii="Microsoft YaHei" w:hAnsi="Microsoft YaHei"/>
          <w:b/>
          <w:color w:val="1A1A1A"/>
        </w:rPr>
        <w:t>多头排列</w:t>
      </w:r>
      <w:r>
        <w:rPr>
          <w:rFonts w:ascii="Microsoft YaHei" w:hAnsi="Microsoft YaHei"/>
        </w:rPr>
        <w:t>（当前价 &gt; MA5 &gt; MA10 &gt; MA20），且已</w:t>
      </w:r>
      <w:r>
        <w:rPr>
          <w:rFonts w:ascii="Microsoft YaHei" w:hAnsi="Microsoft YaHei"/>
          <w:b/>
          <w:color w:val="1A1A1A"/>
        </w:rPr>
        <w:t>突破布林带上轨 15.42 元</w:t>
      </w:r>
      <w:r>
        <w:rPr>
          <w:rFonts w:ascii="Microsoft YaHei" w:hAnsi="Microsoft YaHei"/>
        </w:rPr>
        <w:t xml:space="preserve">。突破布林带上轨通常意味着股价进入强势区间，短期动能充足，但同时也需警惕技术性回调压力——偏离 MA20 已达 </w:t>
      </w:r>
      <w:r>
        <w:rPr>
          <w:rFonts w:ascii="Microsoft YaHei" w:hAnsi="Microsoft YaHei"/>
          <w:b/>
          <w:color w:val="1A1A1A"/>
        </w:rPr>
        <w:t>+7.3%</w:t>
      </w:r>
      <w:r>
        <w:rPr>
          <w:rFonts w:ascii="Microsoft YaHei" w:hAnsi="Microsoft YaHei"/>
        </w:rPr>
        <w:t>，短期乖离率偏大。</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新闻资讯</w:t>
      </w:r>
    </w:p>
    <w:p>
      <w:pPr>
        <w:spacing w:before="280" w:after="80" w:line="312" w:lineRule="auto"/>
      </w:pPr>
      <w:r>
        <w:rPr>
          <w:rFonts w:ascii="Microsoft YaHei" w:hAnsi="Microsoft YaHei"/>
          <w:b/>
          <w:color w:val="333333"/>
          <w:sz w:val="24"/>
        </w:rPr>
        <w:t>核心事件梳理</w:t>
      </w:r>
    </w:p>
    <w:p>
      <w:r>
        <w:rPr>
          <w:rFonts w:ascii="Microsoft YaHei" w:hAnsi="Microsoft YaHei"/>
        </w:rPr>
        <w:t>根据盘中资讯及标题摘要，近期公司涉及以下重要事项：</w:t>
      </w:r>
    </w:p>
    <w:p>
      <w:pPr>
        <w:pStyle w:val="ListNumber"/>
      </w:pPr>
      <w:r>
        <w:rPr>
          <w:rFonts w:ascii="Microsoft YaHei" w:hAnsi="Microsoft YaHei"/>
          <w:b/>
          <w:color w:val="1A1A1A"/>
        </w:rPr>
        <w:t>董事长变更（a_02）</w:t>
      </w:r>
      <w:r>
        <w:rPr>
          <w:rFonts w:ascii="Microsoft YaHei" w:hAnsi="Microsoft YaHei"/>
        </w:rPr>
        <w:t xml:space="preserve">：公司聘任 </w:t>
      </w:r>
      <w:r>
        <w:rPr>
          <w:rFonts w:ascii="Microsoft YaHei" w:hAnsi="Microsoft YaHei"/>
          <w:b/>
          <w:color w:val="1A1A1A"/>
        </w:rPr>
        <w:t>李志红（51岁）</w:t>
      </w:r>
      <w:r>
        <w:rPr>
          <w:rFonts w:ascii="Microsoft YaHei" w:hAnsi="Microsoft YaHei"/>
        </w:rPr>
        <w:t xml:space="preserve"> 为董事长及非独立董事。高管层换帅往往伴随战略方向调整或新业务布局预期，对市场情绪有正面催化作用。</w:t>
      </w:r>
    </w:p>
    <w:p>
      <w:pPr>
        <w:pStyle w:val="ListNumber"/>
      </w:pPr>
      <w:r>
        <w:rPr>
          <w:rFonts w:ascii="Microsoft YaHei" w:hAnsi="Microsoft YaHei"/>
          <w:b/>
          <w:color w:val="1A1A1A"/>
        </w:rPr>
        <w:t>第十届董事会第十四次会议决议（a_03/a_05）</w:t>
      </w:r>
      <w:r>
        <w:rPr>
          <w:rFonts w:ascii="Microsoft YaHei" w:hAnsi="Microsoft YaHei"/>
        </w:rPr>
        <w:t>：与董事长聘任同步推进，会议内容涉及公司治理调整。</w:t>
      </w:r>
    </w:p>
    <w:p>
      <w:pPr>
        <w:pStyle w:val="ListNumber"/>
      </w:pPr>
      <w:r>
        <w:rPr>
          <w:rFonts w:ascii="Microsoft YaHei" w:hAnsi="Microsoft YaHei"/>
          <w:b/>
          <w:color w:val="1A1A1A"/>
        </w:rPr>
        <w:t>三对煤矿获评国家级绿色矿山（a_04）</w:t>
      </w:r>
      <w:r>
        <w:rPr>
          <w:rFonts w:ascii="Microsoft YaHei" w:hAnsi="Microsoft YaHei"/>
        </w:rPr>
        <w:t>：在"双碳"政策和绿色转型大背景下，绿色矿山认证有助于降低政策风险、提升ESG评级，对长期估值有支撑。</w:t>
      </w:r>
    </w:p>
    <w:p>
      <w:pPr>
        <w:pStyle w:val="ListNumber"/>
      </w:pPr>
      <w:r>
        <w:rPr>
          <w:rFonts w:ascii="Microsoft YaHei" w:hAnsi="Microsoft YaHei"/>
          <w:b/>
          <w:color w:val="1A1A1A"/>
        </w:rPr>
        <w:t>2026年第一次临时股东会决议（a_07）</w:t>
      </w:r>
      <w:r>
        <w:rPr>
          <w:rFonts w:ascii="Microsoft YaHei" w:hAnsi="Microsoft YaHei"/>
        </w:rPr>
        <w:t>：股东会通过相关决议，为管理层调整和后续动作扫清程序障碍。</w:t>
      </w:r>
    </w:p>
    <w:p>
      <w:pPr>
        <w:spacing w:before="280" w:after="80" w:line="312" w:lineRule="auto"/>
      </w:pPr>
      <w:r>
        <w:rPr>
          <w:rFonts w:ascii="Microsoft YaHei" w:hAnsi="Microsoft YaHei"/>
          <w:b/>
          <w:color w:val="333333"/>
          <w:sz w:val="24"/>
        </w:rPr>
        <w:t>事件影响分析</w:t>
      </w:r>
    </w:p>
    <w:p>
      <w:r>
        <w:rPr>
          <w:rFonts w:ascii="Microsoft YaHei" w:hAnsi="Microsoft YaHei"/>
        </w:rPr>
        <w:t>上述事件可归纳为</w:t>
      </w:r>
      <w:r>
        <w:rPr>
          <w:rFonts w:ascii="Microsoft YaHei" w:hAnsi="Microsoft YaHei"/>
          <w:b/>
          <w:color w:val="1A1A1A"/>
        </w:rPr>
        <w:t>"管理层换血 + 绿色转型认证"</w:t>
      </w:r>
      <w:r>
        <w:rPr>
          <w:rFonts w:ascii="Microsoft YaHei" w:hAnsi="Microsoft YaHei"/>
        </w:rPr>
        <w:t>的双重利好组合。新董事长上任通常被市场解读为公司可能开启新战略周期，叠加绿色矿山认证强化合规属性，对传统能源股而言是较为罕见的利好共振。</w:t>
      </w:r>
    </w:p>
    <w:p>
      <w:pPr>
        <w:spacing w:before="280" w:after="80" w:line="312" w:lineRule="auto"/>
      </w:pPr>
      <w:r>
        <w:rPr>
          <w:rFonts w:ascii="Microsoft YaHei" w:hAnsi="Microsoft YaHei"/>
          <w:b/>
          <w:color w:val="333333"/>
          <w:sz w:val="24"/>
        </w:rPr>
        <w:t>板块催化（额外）</w:t>
      </w:r>
    </w:p>
    <w:p>
      <w:r>
        <w:rPr>
          <w:rFonts w:ascii="Microsoft YaHei" w:hAnsi="Microsoft YaHei"/>
        </w:rPr>
        <w:t>煤炭板块今日整体暴涨，与更宏观的</w:t>
      </w:r>
      <w:r>
        <w:rPr>
          <w:rFonts w:ascii="Microsoft YaHei" w:hAnsi="Microsoft YaHei"/>
          <w:b/>
          <w:color w:val="1A1A1A"/>
        </w:rPr>
        <w:t>能源板块热度</w:t>
      </w:r>
      <w:r>
        <w:rPr>
          <w:rFonts w:ascii="Microsoft YaHei" w:hAnsi="Microsoft YaHei"/>
        </w:rPr>
        <w:t>及</w:t>
      </w:r>
      <w:r>
        <w:rPr>
          <w:rFonts w:ascii="Microsoft YaHei" w:hAnsi="Microsoft YaHei"/>
          <w:b/>
          <w:color w:val="1A1A1A"/>
        </w:rPr>
        <w:t>煤化工概念（+1.31%）</w:t>
      </w:r>
      <w:r>
        <w:rPr>
          <w:rFonts w:ascii="Microsoft YaHei" w:hAnsi="Microsoft YaHei"/>
        </w:rPr>
        <w:t>联动效应密切相关。兖矿能源、大有能源、晋控煤业等同步涨停，说明今日行情具有</w:t>
      </w:r>
      <w:r>
        <w:rPr>
          <w:rFonts w:ascii="Microsoft YaHei" w:hAnsi="Microsoft YaHei"/>
          <w:b/>
          <w:color w:val="1A1A1A"/>
        </w:rPr>
        <w:t>板块性特征</w:t>
      </w:r>
      <w:r>
        <w:rPr>
          <w:rFonts w:ascii="Microsoft YaHei" w:hAnsi="Microsoft YaHei"/>
        </w:rPr>
        <w:t>，而非个股独立事件。</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板块关联</w:t>
      </w:r>
    </w:p>
    <w:p>
      <w:pPr>
        <w:spacing w:before="280" w:after="80" w:line="312" w:lineRule="auto"/>
      </w:pPr>
      <w:r>
        <w:rPr>
          <w:rFonts w:ascii="Microsoft YaHei" w:hAnsi="Microsoft YaHei"/>
          <w:b/>
          <w:color w:val="333333"/>
          <w:sz w:val="24"/>
        </w:rPr>
        <w:t>所属板块表现</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板块</w:t>
            </w:r>
          </w:p>
        </w:tc>
        <w:tc>
          <w:tcPr>
            <w:tcW w:type="dxa" w:w="2266"/>
            <w:shd w:fill="F6F8FA" w:val="clear"/>
          </w:tcPr>
          <w:p>
            <w:pPr>
              <w:spacing w:before="40" w:after="40" w:line="288" w:lineRule="auto"/>
            </w:pPr>
            <w:r/>
            <w:r>
              <w:rPr>
                <w:rFonts w:ascii="Microsoft YaHei" w:hAnsi="Microsoft YaHei"/>
                <w:b/>
                <w:color w:val="1A1A1A"/>
                <w:sz w:val="18"/>
              </w:rPr>
              <w:t>涨幅</w:t>
            </w:r>
          </w:p>
        </w:tc>
        <w:tc>
          <w:tcPr>
            <w:tcW w:type="dxa" w:w="2266"/>
            <w:shd w:fill="F6F8FA" w:val="clear"/>
          </w:tcPr>
          <w:p>
            <w:pPr>
              <w:spacing w:before="40" w:after="40" w:line="288" w:lineRule="auto"/>
            </w:pPr>
            <w:r/>
            <w:r>
              <w:rPr>
                <w:rFonts w:ascii="Microsoft YaHei" w:hAnsi="Microsoft YaHei"/>
                <w:b/>
                <w:color w:val="1A1A1A"/>
                <w:sz w:val="18"/>
              </w:rPr>
              <w:t>板块内排名</w:t>
            </w:r>
          </w:p>
        </w:tc>
        <w:tc>
          <w:tcPr>
            <w:tcW w:type="dxa" w:w="2266"/>
            <w:shd w:fill="F6F8FA" w:val="clear"/>
          </w:tcPr>
          <w:p>
            <w:pPr>
              <w:spacing w:before="40" w:after="40" w:line="288" w:lineRule="auto"/>
            </w:pPr>
            <w:r/>
            <w:r>
              <w:rPr>
                <w:rFonts w:ascii="Microsoft YaHei" w:hAnsi="Microsoft YaHei"/>
                <w:b/>
                <w:color w:val="1A1A1A"/>
                <w:sz w:val="18"/>
              </w:rPr>
              <w:t>状态</w:t>
            </w:r>
          </w:p>
        </w:tc>
      </w:tr>
      <w:tr>
        <w:tc>
          <w:tcPr>
            <w:tcW w:type="dxa" w:w="2266"/>
          </w:tcPr>
          <w:p>
            <w:pPr>
              <w:spacing w:before="40" w:after="40" w:line="288" w:lineRule="auto"/>
            </w:pPr>
            <w:r/>
            <w:r>
              <w:rPr>
                <w:rFonts w:ascii="Microsoft YaHei" w:hAnsi="Microsoft YaHei"/>
                <w:b/>
                <w:color w:val="1A1A1A"/>
                <w:sz w:val="18"/>
              </w:rPr>
              <w:t>煤与消费用燃料（A股）</w:t>
            </w:r>
          </w:p>
        </w:tc>
        <w:tc>
          <w:tcPr>
            <w:tcW w:type="dxa" w:w="2266"/>
          </w:tcPr>
          <w:p>
            <w:pPr>
              <w:spacing w:before="40" w:after="40" w:line="288" w:lineRule="auto"/>
            </w:pPr>
            <w:r/>
            <w:r>
              <w:rPr>
                <w:rFonts w:ascii="Microsoft YaHei" w:hAnsi="Microsoft YaHei"/>
                <w:b/>
                <w:color w:val="1A1A1A"/>
                <w:sz w:val="18"/>
              </w:rPr>
              <w:t>+3.16%</w:t>
            </w:r>
          </w:p>
        </w:tc>
        <w:tc>
          <w:tcPr>
            <w:tcW w:type="dxa" w:w="2266"/>
          </w:tcPr>
          <w:p>
            <w:pPr>
              <w:spacing w:before="40" w:after="40" w:line="288" w:lineRule="auto"/>
            </w:pPr>
            <w:r/>
            <w:r>
              <w:rPr>
                <w:rFonts w:ascii="Microsoft YaHei" w:hAnsi="Microsoft YaHei"/>
                <w:b/>
                <w:color w:val="1A1A1A"/>
                <w:sz w:val="18"/>
              </w:rPr>
              <w:t>3/36</w:t>
            </w:r>
          </w:p>
        </w:tc>
        <w:tc>
          <w:tcPr>
            <w:tcW w:type="dxa" w:w="2266"/>
          </w:tcPr>
          <w:p>
            <w:pPr>
              <w:spacing w:before="40" w:after="40" w:line="288" w:lineRule="auto"/>
            </w:pPr>
            <w:r/>
            <w:r>
              <w:rPr>
                <w:rFonts w:ascii="Microsoft YaHei" w:hAnsi="Microsoft YaHei"/>
                <w:sz w:val="18"/>
              </w:rPr>
              <w:t>✅ 领涨</w:t>
            </w:r>
          </w:p>
        </w:tc>
      </w:tr>
      <w:tr>
        <w:tc>
          <w:tcPr>
            <w:tcW w:type="dxa" w:w="2266"/>
            <w:shd w:fill="F8F9FA" w:val="clear"/>
          </w:tcPr>
          <w:p>
            <w:pPr>
              <w:spacing w:before="40" w:after="40" w:line="288" w:lineRule="auto"/>
            </w:pPr>
            <w:r/>
            <w:r>
              <w:rPr>
                <w:rFonts w:ascii="Microsoft YaHei" w:hAnsi="Microsoft YaHei"/>
                <w:sz w:val="18"/>
              </w:rPr>
              <w:t>石油、天然气与消费用燃料（A股）</w:t>
            </w:r>
          </w:p>
        </w:tc>
        <w:tc>
          <w:tcPr>
            <w:tcW w:type="dxa" w:w="2266"/>
            <w:shd w:fill="F8F9FA" w:val="clear"/>
          </w:tcPr>
          <w:p>
            <w:pPr>
              <w:spacing w:before="40" w:after="40" w:line="288" w:lineRule="auto"/>
            </w:pPr>
            <w:r/>
            <w:r>
              <w:rPr>
                <w:rFonts w:ascii="Microsoft YaHei" w:hAnsi="Microsoft YaHei"/>
                <w:sz w:val="18"/>
              </w:rPr>
              <w:t>+2.94%</w:t>
            </w:r>
          </w:p>
        </w:tc>
        <w:tc>
          <w:tcPr>
            <w:tcW w:type="dxa" w:w="2266"/>
            <w:shd w:fill="F8F9FA" w:val="clear"/>
          </w:tcPr>
          <w:p>
            <w:pPr>
              <w:spacing w:before="40" w:after="40" w:line="288" w:lineRule="auto"/>
            </w:pPr>
            <w:r/>
            <w:r>
              <w:rPr>
                <w:rFonts w:ascii="Microsoft YaHei" w:hAnsi="Microsoft YaHei"/>
                <w:sz w:val="18"/>
              </w:rPr>
              <w:t>5/57</w:t>
            </w:r>
          </w:p>
        </w:tc>
        <w:tc>
          <w:tcPr>
            <w:tcW w:type="dxa" w:w="2266"/>
            <w:shd w:fill="F8F9FA" w:val="clear"/>
          </w:tcPr>
          <w:p>
            <w:pPr>
              <w:spacing w:before="40" w:after="40" w:line="288" w:lineRule="auto"/>
            </w:pPr>
            <w:r/>
            <w:r>
              <w:rPr>
                <w:rFonts w:ascii="Microsoft YaHei" w:hAnsi="Microsoft YaHei"/>
                <w:sz w:val="18"/>
              </w:rPr>
              <w:t>强势</w:t>
            </w:r>
          </w:p>
        </w:tc>
      </w:tr>
      <w:tr>
        <w:tc>
          <w:tcPr>
            <w:tcW w:type="dxa" w:w="2266"/>
          </w:tcPr>
          <w:p>
            <w:pPr>
              <w:spacing w:before="40" w:after="40" w:line="288" w:lineRule="auto"/>
            </w:pPr>
            <w:r/>
            <w:r>
              <w:rPr>
                <w:rFonts w:ascii="Microsoft YaHei" w:hAnsi="Microsoft YaHei"/>
                <w:sz w:val="18"/>
              </w:rPr>
              <w:t>能源（A股）</w:t>
            </w:r>
          </w:p>
        </w:tc>
        <w:tc>
          <w:tcPr>
            <w:tcW w:type="dxa" w:w="2266"/>
          </w:tcPr>
          <w:p>
            <w:pPr>
              <w:spacing w:before="40" w:after="40" w:line="288" w:lineRule="auto"/>
            </w:pPr>
            <w:r/>
            <w:r>
              <w:rPr>
                <w:rFonts w:ascii="Microsoft YaHei" w:hAnsi="Microsoft YaHei"/>
                <w:sz w:val="18"/>
              </w:rPr>
              <w:t>+2.62%</w:t>
            </w:r>
          </w:p>
        </w:tc>
        <w:tc>
          <w:tcPr>
            <w:tcW w:type="dxa" w:w="2266"/>
          </w:tcPr>
          <w:p>
            <w:pPr>
              <w:spacing w:before="40" w:after="40" w:line="288" w:lineRule="auto"/>
            </w:pPr>
            <w:r/>
            <w:r>
              <w:rPr>
                <w:rFonts w:ascii="Microsoft YaHei" w:hAnsi="Microsoft YaHei"/>
                <w:sz w:val="18"/>
              </w:rPr>
              <w:t>8/83</w:t>
            </w:r>
          </w:p>
        </w:tc>
        <w:tc>
          <w:tcPr>
            <w:tcW w:type="dxa" w:w="2266"/>
          </w:tcPr>
          <w:p>
            <w:pPr>
              <w:spacing w:before="40" w:after="40" w:line="288" w:lineRule="auto"/>
            </w:pPr>
            <w:r/>
            <w:r>
              <w:rPr>
                <w:rFonts w:ascii="Microsoft YaHei" w:hAnsi="Microsoft YaHei"/>
                <w:sz w:val="18"/>
              </w:rPr>
              <w:t>强势</w:t>
            </w:r>
          </w:p>
        </w:tc>
      </w:tr>
      <w:tr>
        <w:tc>
          <w:tcPr>
            <w:tcW w:type="dxa" w:w="2266"/>
            <w:shd w:fill="F8F9FA" w:val="clear"/>
          </w:tcPr>
          <w:p>
            <w:pPr>
              <w:spacing w:before="40" w:after="40" w:line="288" w:lineRule="auto"/>
            </w:pPr>
            <w:r/>
            <w:r>
              <w:rPr>
                <w:rFonts w:ascii="Microsoft YaHei" w:hAnsi="Microsoft YaHei"/>
                <w:sz w:val="18"/>
              </w:rPr>
              <w:t>煤化工概念</w:t>
            </w:r>
          </w:p>
        </w:tc>
        <w:tc>
          <w:tcPr>
            <w:tcW w:type="dxa" w:w="2266"/>
            <w:shd w:fill="F8F9FA" w:val="clear"/>
          </w:tcPr>
          <w:p>
            <w:pPr>
              <w:spacing w:before="40" w:after="40" w:line="288" w:lineRule="auto"/>
            </w:pPr>
            <w:r/>
            <w:r>
              <w:rPr>
                <w:rFonts w:ascii="Microsoft YaHei" w:hAnsi="Microsoft YaHei"/>
                <w:sz w:val="18"/>
              </w:rPr>
              <w:t>+1.31%</w:t>
            </w:r>
          </w:p>
        </w:tc>
        <w:tc>
          <w:tcPr>
            <w:tcW w:type="dxa" w:w="2266"/>
            <w:shd w:fill="F8F9FA" w:val="clear"/>
          </w:tcPr>
          <w:p>
            <w:pPr>
              <w:spacing w:before="40" w:after="40" w:line="288" w:lineRule="auto"/>
            </w:pPr>
            <w:r/>
            <w:r>
              <w:rPr>
                <w:rFonts w:ascii="Microsoft YaHei" w:hAnsi="Microsoft YaHei"/>
                <w:sz w:val="18"/>
              </w:rPr>
              <w:t>4/109</w:t>
            </w:r>
          </w:p>
        </w:tc>
        <w:tc>
          <w:tcPr>
            <w:tcW w:type="dxa" w:w="2266"/>
            <w:shd w:fill="F8F9FA" w:val="clear"/>
          </w:tcPr>
          <w:p>
            <w:pPr>
              <w:spacing w:before="40" w:after="40" w:line="288" w:lineRule="auto"/>
            </w:pPr>
            <w:r/>
            <w:r>
              <w:rPr>
                <w:rFonts w:ascii="Microsoft YaHei" w:hAnsi="Microsoft YaHei"/>
                <w:sz w:val="18"/>
              </w:rPr>
              <w:t>较强</w:t>
            </w:r>
          </w:p>
        </w:tc>
      </w:tr>
      <w:tr>
        <w:tc>
          <w:tcPr>
            <w:tcW w:type="dxa" w:w="2266"/>
          </w:tcPr>
          <w:p>
            <w:pPr>
              <w:spacing w:before="40" w:after="40" w:line="288" w:lineRule="auto"/>
            </w:pPr>
            <w:r/>
            <w:r>
              <w:rPr>
                <w:rFonts w:ascii="Microsoft YaHei" w:hAnsi="Microsoft YaHei"/>
                <w:sz w:val="18"/>
              </w:rPr>
              <w:t>中证500成份股</w:t>
            </w:r>
          </w:p>
        </w:tc>
        <w:tc>
          <w:tcPr>
            <w:tcW w:type="dxa" w:w="2266"/>
          </w:tcPr>
          <w:p>
            <w:pPr>
              <w:spacing w:before="40" w:after="40" w:line="288" w:lineRule="auto"/>
            </w:pPr>
            <w:r/>
            <w:r>
              <w:rPr>
                <w:rFonts w:ascii="Microsoft YaHei" w:hAnsi="Microsoft YaHei"/>
                <w:sz w:val="18"/>
              </w:rPr>
              <w:t>+0.27%</w:t>
            </w:r>
          </w:p>
        </w:tc>
        <w:tc>
          <w:tcPr>
            <w:tcW w:type="dxa" w:w="2266"/>
          </w:tcPr>
          <w:p>
            <w:pPr>
              <w:spacing w:before="40" w:after="40" w:line="288" w:lineRule="auto"/>
            </w:pPr>
            <w:r/>
            <w:r>
              <w:rPr>
                <w:rFonts w:ascii="Microsoft YaHei" w:hAnsi="Microsoft YaHei"/>
                <w:sz w:val="18"/>
              </w:rPr>
              <w:t>8/550</w:t>
            </w:r>
          </w:p>
        </w:tc>
        <w:tc>
          <w:tcPr>
            <w:tcW w:type="dxa" w:w="2266"/>
          </w:tcPr>
          <w:p>
            <w:pPr>
              <w:spacing w:before="40" w:after="40" w:line="288" w:lineRule="auto"/>
            </w:pPr>
            <w:r/>
            <w:r>
              <w:rPr>
                <w:rFonts w:ascii="Microsoft YaHei" w:hAnsi="Microsoft YaHei"/>
                <w:sz w:val="18"/>
              </w:rPr>
              <w:t>靠前</w:t>
            </w:r>
          </w:p>
        </w:tc>
      </w:tr>
      <w:tr>
        <w:tc>
          <w:tcPr>
            <w:tcW w:type="dxa" w:w="2266"/>
            <w:shd w:fill="F8F9FA" w:val="clear"/>
          </w:tcPr>
          <w:p>
            <w:pPr>
              <w:spacing w:before="40" w:after="40" w:line="288" w:lineRule="auto"/>
            </w:pPr>
            <w:r/>
            <w:r>
              <w:rPr>
                <w:rFonts w:ascii="Microsoft YaHei" w:hAnsi="Microsoft YaHei"/>
                <w:sz w:val="18"/>
              </w:rPr>
              <w:t>上证380成份股</w:t>
            </w:r>
          </w:p>
        </w:tc>
        <w:tc>
          <w:tcPr>
            <w:tcW w:type="dxa" w:w="2266"/>
            <w:shd w:fill="F8F9FA" w:val="clear"/>
          </w:tcPr>
          <w:p>
            <w:pPr>
              <w:spacing w:before="40" w:after="40" w:line="288" w:lineRule="auto"/>
            </w:pPr>
            <w:r/>
            <w:r>
              <w:rPr>
                <w:rFonts w:ascii="Microsoft YaHei" w:hAnsi="Microsoft YaHei"/>
                <w:sz w:val="18"/>
              </w:rPr>
              <w:t>+0.09%</w:t>
            </w:r>
          </w:p>
        </w:tc>
        <w:tc>
          <w:tcPr>
            <w:tcW w:type="dxa" w:w="2266"/>
            <w:shd w:fill="F8F9FA" w:val="clear"/>
          </w:tcPr>
          <w:p>
            <w:pPr>
              <w:spacing w:before="40" w:after="40" w:line="288" w:lineRule="auto"/>
            </w:pPr>
            <w:r/>
            <w:r>
              <w:rPr>
                <w:rFonts w:ascii="Microsoft YaHei" w:hAnsi="Microsoft YaHei"/>
                <w:sz w:val="18"/>
              </w:rPr>
              <w:t>6/380</w:t>
            </w:r>
          </w:p>
        </w:tc>
        <w:tc>
          <w:tcPr>
            <w:tcW w:type="dxa" w:w="2266"/>
            <w:shd w:fill="F8F9FA" w:val="clear"/>
          </w:tcPr>
          <w:p>
            <w:pPr>
              <w:spacing w:before="40" w:after="40" w:line="288" w:lineRule="auto"/>
            </w:pPr>
            <w:r/>
            <w:r>
              <w:rPr>
                <w:rFonts w:ascii="Microsoft YaHei" w:hAnsi="Microsoft YaHei"/>
                <w:sz w:val="18"/>
              </w:rPr>
              <w:t>靠前</w:t>
            </w:r>
          </w:p>
        </w:tc>
      </w:tr>
    </w:tbl>
    <w:p/>
    <w:p>
      <w:r>
        <w:rPr>
          <w:rFonts w:ascii="Microsoft YaHei" w:hAnsi="Microsoft YaHei"/>
        </w:rPr>
        <w:t xml:space="preserve">淮北矿业在其核心板块 </w:t>
      </w:r>
      <w:r>
        <w:rPr>
          <w:rFonts w:ascii="Microsoft YaHei" w:hAnsi="Microsoft YaHei"/>
          <w:b/>
          <w:color w:val="1A1A1A"/>
        </w:rPr>
        <w:t>"煤与消费用燃料"</w:t>
      </w:r>
      <w:r>
        <w:rPr>
          <w:rFonts w:ascii="Microsoft YaHei" w:hAnsi="Microsoft YaHei"/>
        </w:rPr>
        <w:t xml:space="preserve"> 中排名 </w:t>
      </w:r>
      <w:r>
        <w:rPr>
          <w:rFonts w:ascii="Microsoft YaHei" w:hAnsi="Microsoft YaHei"/>
          <w:b/>
          <w:color w:val="1A1A1A"/>
        </w:rPr>
        <w:t>第3/36</w:t>
      </w:r>
      <w:r>
        <w:rPr>
          <w:rFonts w:ascii="Microsoft YaHei" w:hAnsi="Microsoft YaHei"/>
        </w:rPr>
        <w:t xml:space="preserve">，与兖矿能源、大有能源并列涨停，已跻身板块龙头梯队。在 </w:t>
      </w:r>
      <w:r>
        <w:rPr>
          <w:rFonts w:ascii="Microsoft YaHei" w:hAnsi="Microsoft YaHei"/>
          <w:b/>
          <w:color w:val="1A1A1A"/>
        </w:rPr>
        <w:t>中证500</w:t>
      </w:r>
      <w:r>
        <w:rPr>
          <w:rFonts w:ascii="Microsoft YaHei" w:hAnsi="Microsoft YaHei"/>
        </w:rPr>
        <w:t xml:space="preserve"> 和 </w:t>
      </w:r>
      <w:r>
        <w:rPr>
          <w:rFonts w:ascii="Microsoft YaHei" w:hAnsi="Microsoft YaHei"/>
          <w:b/>
          <w:color w:val="1A1A1A"/>
        </w:rPr>
        <w:t>上证380</w:t>
      </w:r>
      <w:r>
        <w:rPr>
          <w:rFonts w:ascii="Microsoft YaHei" w:hAnsi="Microsoft YaHei"/>
        </w:rPr>
        <w:t xml:space="preserve"> 两大指数成份股中均排名前10。</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综合研判</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维度</w:t>
            </w:r>
          </w:p>
        </w:tc>
        <w:tc>
          <w:tcPr>
            <w:tcW w:type="dxa" w:w="3022"/>
            <w:shd w:fill="F6F8FA" w:val="clear"/>
          </w:tcPr>
          <w:p>
            <w:pPr>
              <w:spacing w:before="40" w:after="40" w:line="288" w:lineRule="auto"/>
            </w:pPr>
            <w:r/>
            <w:r>
              <w:rPr>
                <w:rFonts w:ascii="Microsoft YaHei" w:hAnsi="Microsoft YaHei"/>
                <w:b/>
                <w:color w:val="1A1A1A"/>
                <w:sz w:val="18"/>
              </w:rPr>
              <w:t>评分</w:t>
            </w:r>
          </w:p>
        </w:tc>
        <w:tc>
          <w:tcPr>
            <w:tcW w:type="dxa" w:w="3022"/>
            <w:shd w:fill="F6F8FA" w:val="clear"/>
          </w:tcPr>
          <w:p>
            <w:pPr>
              <w:spacing w:before="40" w:after="40" w:line="288" w:lineRule="auto"/>
            </w:pPr>
            <w:r/>
            <w:r>
              <w:rPr>
                <w:rFonts w:ascii="Microsoft YaHei" w:hAnsi="Microsoft YaHei"/>
                <w:b/>
                <w:color w:val="1A1A1A"/>
                <w:sz w:val="18"/>
              </w:rPr>
              <w:t>要点</w:t>
            </w:r>
          </w:p>
        </w:tc>
      </w:tr>
      <w:tr>
        <w:tc>
          <w:tcPr>
            <w:tcW w:type="dxa" w:w="3022"/>
          </w:tcPr>
          <w:p>
            <w:pPr>
              <w:spacing w:before="40" w:after="40" w:line="288" w:lineRule="auto"/>
            </w:pPr>
            <w:r/>
            <w:r>
              <w:rPr>
                <w:rFonts w:ascii="Microsoft YaHei" w:hAnsi="Microsoft YaHei"/>
                <w:sz w:val="18"/>
              </w:rPr>
              <w:t>资金面</w:t>
            </w:r>
          </w:p>
        </w:tc>
        <w:tc>
          <w:tcPr>
            <w:tcW w:type="dxa" w:w="3022"/>
          </w:tcPr>
          <w:p>
            <w:pPr>
              <w:spacing w:before="40" w:after="40" w:line="288" w:lineRule="auto"/>
            </w:pPr>
            <w:r/>
            <w:r>
              <w:rPr>
                <w:rFonts w:ascii="Microsoft YaHei" w:hAnsi="Microsoft YaHei"/>
                <w:sz w:val="18"/>
              </w:rPr>
              <w:t>⭐⭐⭐⭐⭐</w:t>
            </w:r>
          </w:p>
        </w:tc>
        <w:tc>
          <w:tcPr>
            <w:tcW w:type="dxa" w:w="3022"/>
          </w:tcPr>
          <w:p>
            <w:pPr>
              <w:spacing w:before="40" w:after="40" w:line="288" w:lineRule="auto"/>
            </w:pPr>
            <w:r/>
            <w:r>
              <w:rPr>
                <w:rFonts w:ascii="Microsoft YaHei" w:hAnsi="Microsoft YaHei"/>
                <w:sz w:val="18"/>
              </w:rPr>
              <w:t>今日净流入8,091万，昨日大中单合计+7,088万，资金连续两日积极介入</w:t>
            </w:r>
          </w:p>
        </w:tc>
      </w:tr>
      <w:tr>
        <w:tc>
          <w:tcPr>
            <w:tcW w:type="dxa" w:w="3022"/>
            <w:shd w:fill="F8F9FA" w:val="clear"/>
          </w:tcPr>
          <w:p>
            <w:pPr>
              <w:spacing w:before="40" w:after="40" w:line="288" w:lineRule="auto"/>
            </w:pPr>
            <w:r/>
            <w:r>
              <w:rPr>
                <w:rFonts w:ascii="Microsoft YaHei" w:hAnsi="Microsoft YaHei"/>
                <w:sz w:val="18"/>
              </w:rPr>
              <w:t>技术面</w:t>
            </w:r>
          </w:p>
        </w:tc>
        <w:tc>
          <w:tcPr>
            <w:tcW w:type="dxa" w:w="3022"/>
            <w:shd w:fill="F8F9FA" w:val="clear"/>
          </w:tcPr>
          <w:p>
            <w:pPr>
              <w:spacing w:before="40" w:after="40" w:line="288" w:lineRule="auto"/>
            </w:pPr>
            <w:r/>
            <w:r>
              <w:rPr>
                <w:rFonts w:ascii="Microsoft YaHei" w:hAnsi="Microsoft YaHei"/>
                <w:sz w:val="18"/>
              </w:rPr>
              <w:t>⭐⭐⭐⭐</w:t>
            </w:r>
          </w:p>
        </w:tc>
        <w:tc>
          <w:tcPr>
            <w:tcW w:type="dxa" w:w="3022"/>
            <w:shd w:fill="F8F9FA" w:val="clear"/>
          </w:tcPr>
          <w:p>
            <w:pPr>
              <w:spacing w:before="40" w:after="40" w:line="288" w:lineRule="auto"/>
            </w:pPr>
            <w:r/>
            <w:r>
              <w:rPr>
                <w:rFonts w:ascii="Microsoft YaHei" w:hAnsi="Microsoft YaHei"/>
                <w:sz w:val="18"/>
              </w:rPr>
              <w:t>多头发散、突破布林上轨，强势明确；但偏离MA20已达7.3%，短线乖离偏大</w:t>
            </w:r>
          </w:p>
        </w:tc>
      </w:tr>
      <w:tr>
        <w:tc>
          <w:tcPr>
            <w:tcW w:type="dxa" w:w="3022"/>
          </w:tcPr>
          <w:p>
            <w:pPr>
              <w:spacing w:before="40" w:after="40" w:line="288" w:lineRule="auto"/>
            </w:pPr>
            <w:r/>
            <w:r>
              <w:rPr>
                <w:rFonts w:ascii="Microsoft YaHei" w:hAnsi="Microsoft YaHei"/>
                <w:sz w:val="18"/>
              </w:rPr>
              <w:t>事件面</w:t>
            </w:r>
          </w:p>
        </w:tc>
        <w:tc>
          <w:tcPr>
            <w:tcW w:type="dxa" w:w="3022"/>
          </w:tcPr>
          <w:p>
            <w:pPr>
              <w:spacing w:before="40" w:after="40" w:line="288" w:lineRule="auto"/>
            </w:pPr>
            <w:r/>
            <w:r>
              <w:rPr>
                <w:rFonts w:ascii="Microsoft YaHei" w:hAnsi="Microsoft YaHei"/>
                <w:sz w:val="18"/>
              </w:rPr>
              <w:t>⭐⭐⭐⭐</w:t>
            </w:r>
          </w:p>
        </w:tc>
        <w:tc>
          <w:tcPr>
            <w:tcW w:type="dxa" w:w="3022"/>
          </w:tcPr>
          <w:p>
            <w:pPr>
              <w:spacing w:before="40" w:after="40" w:line="288" w:lineRule="auto"/>
            </w:pPr>
            <w:r/>
            <w:r>
              <w:rPr>
                <w:rFonts w:ascii="Microsoft YaHei" w:hAnsi="Microsoft YaHei"/>
                <w:sz w:val="18"/>
              </w:rPr>
              <w:t>董事长换帅+绿色矿山认证，对传统能源股是稀缺利好组合</w:t>
            </w:r>
          </w:p>
        </w:tc>
      </w:tr>
      <w:tr>
        <w:tc>
          <w:tcPr>
            <w:tcW w:type="dxa" w:w="3022"/>
            <w:shd w:fill="F8F9FA" w:val="clear"/>
          </w:tcPr>
          <w:p>
            <w:pPr>
              <w:spacing w:before="40" w:after="40" w:line="288" w:lineRule="auto"/>
            </w:pPr>
            <w:r/>
            <w:r>
              <w:rPr>
                <w:rFonts w:ascii="Microsoft YaHei" w:hAnsi="Microsoft YaHei"/>
                <w:sz w:val="18"/>
              </w:rPr>
              <w:t>板块面</w:t>
            </w:r>
          </w:p>
        </w:tc>
        <w:tc>
          <w:tcPr>
            <w:tcW w:type="dxa" w:w="3022"/>
            <w:shd w:fill="F8F9FA" w:val="clear"/>
          </w:tcPr>
          <w:p>
            <w:pPr>
              <w:spacing w:before="40" w:after="40" w:line="288" w:lineRule="auto"/>
            </w:pPr>
            <w:r/>
            <w:r>
              <w:rPr>
                <w:rFonts w:ascii="Microsoft YaHei" w:hAnsi="Microsoft YaHei"/>
                <w:sz w:val="18"/>
              </w:rPr>
              <w:t>⭐⭐⭐⭐⭐</w:t>
            </w:r>
          </w:p>
        </w:tc>
        <w:tc>
          <w:tcPr>
            <w:tcW w:type="dxa" w:w="3022"/>
            <w:shd w:fill="F8F9FA" w:val="clear"/>
          </w:tcPr>
          <w:p>
            <w:pPr>
              <w:spacing w:before="40" w:after="40" w:line="288" w:lineRule="auto"/>
            </w:pPr>
            <w:r/>
            <w:r>
              <w:rPr>
                <w:rFonts w:ascii="Microsoft YaHei" w:hAnsi="Microsoft YaHei"/>
                <w:sz w:val="18"/>
              </w:rPr>
              <w:t>煤炭板块集体爆发，多家同行涨停，行情具有板块联动支撑</w:t>
            </w:r>
          </w:p>
        </w:tc>
      </w:tr>
      <w:tr>
        <w:tc>
          <w:tcPr>
            <w:tcW w:type="dxa" w:w="3022"/>
          </w:tcPr>
          <w:p>
            <w:pPr>
              <w:spacing w:before="40" w:after="40" w:line="288" w:lineRule="auto"/>
            </w:pPr>
            <w:r/>
            <w:r>
              <w:rPr>
                <w:rFonts w:ascii="Microsoft YaHei" w:hAnsi="Microsoft YaHei"/>
                <w:sz w:val="18"/>
              </w:rPr>
              <w:t>估值面</w:t>
            </w:r>
          </w:p>
        </w:tc>
        <w:tc>
          <w:tcPr>
            <w:tcW w:type="dxa" w:w="3022"/>
          </w:tcPr>
          <w:p>
            <w:pPr>
              <w:spacing w:before="40" w:after="40" w:line="288" w:lineRule="auto"/>
            </w:pPr>
            <w:r/>
            <w:r>
              <w:rPr>
                <w:rFonts w:ascii="Microsoft YaHei" w:hAnsi="Microsoft YaHei"/>
                <w:sz w:val="18"/>
              </w:rPr>
              <w:t>⭐⭐⭐⭐</w:t>
            </w:r>
          </w:p>
        </w:tc>
        <w:tc>
          <w:tcPr>
            <w:tcW w:type="dxa" w:w="3022"/>
          </w:tcPr>
          <w:p>
            <w:pPr>
              <w:spacing w:before="40" w:after="40" w:line="288" w:lineRule="auto"/>
            </w:pPr>
            <w:r/>
            <w:r>
              <w:rPr>
                <w:rFonts w:ascii="Microsoft YaHei" w:hAnsi="Microsoft YaHei"/>
                <w:sz w:val="18"/>
              </w:rPr>
              <w:t>PB刚过1倍、PE约21倍，在煤炭板块中仍处合理区间</w:t>
            </w:r>
          </w:p>
        </w:tc>
      </w:tr>
    </w:tbl>
    <w:p/>
    <w:p>
      <w:r>
        <w:rPr>
          <w:rFonts w:ascii="Microsoft YaHei" w:hAnsi="Microsoft YaHei"/>
          <w:b/>
          <w:color w:val="1A1A1A"/>
        </w:rPr>
        <w:t>主力观点总结：</w:t>
      </w:r>
    </w:p>
    <w:p>
      <w:r>
        <w:rPr>
          <w:rFonts w:ascii="Microsoft YaHei" w:hAnsi="Microsoft YaHei"/>
        </w:rPr>
        <w:t>淮北矿业今日以</w:t>
      </w:r>
      <w:r>
        <w:rPr>
          <w:rFonts w:ascii="Microsoft YaHei" w:hAnsi="Microsoft YaHei"/>
          <w:b/>
          <w:color w:val="1A1A1A"/>
        </w:rPr>
        <w:t>涨停价15.62元</w:t>
      </w:r>
      <w:r>
        <w:rPr>
          <w:rFonts w:ascii="Microsoft YaHei" w:hAnsi="Microsoft YaHei"/>
        </w:rPr>
        <w:t xml:space="preserve">强势收盘，封单坚决（卖一为0），量能配合（换手1.13%，较昨日放量约57%），资金净流入超8,000万元。本轮上涨受 </w:t>
      </w:r>
      <w:r>
        <w:rPr>
          <w:rFonts w:ascii="Microsoft YaHei" w:hAnsi="Microsoft YaHei"/>
          <w:b/>
          <w:color w:val="1A1A1A"/>
        </w:rPr>
        <w:t>"董事长换帅+绿色矿山认证+煤炭板块集体爆发"三重共振</w:t>
      </w:r>
      <w:r>
        <w:rPr>
          <w:rFonts w:ascii="Microsoft YaHei" w:hAnsi="Microsoft YaHei"/>
        </w:rPr>
        <w:t>驱动，属于事件催化与板块联动的合力行情。</w:t>
      </w:r>
    </w:p>
    <w:p>
      <w:r>
        <w:rPr>
          <w:rFonts w:ascii="Microsoft YaHei" w:hAnsi="Microsoft YaHei"/>
          <w:b/>
          <w:color w:val="1A1A1A"/>
        </w:rPr>
        <w:t>⚠️ 风险提示：</w:t>
      </w:r>
      <w:r>
        <w:rPr>
          <w:rFonts w:ascii="Microsoft YaHei" w:hAnsi="Microsoft YaHei"/>
        </w:rPr>
        <w:t xml:space="preserve"> 股价已突破布林带上轨，短期偏离均线幅度较大，技术上存在回调整固的可能；同时涨停板后的第二个交易日需关注是否出现分歧（炸板/高开低走）。建议持续跟踪新董事长上任后的战略规划披露及煤炭板块后续持续性。投资有风险，入市需谨慎。</w:t>
      </w:r>
    </w:p>
    <w:sectPr w:rsidR="00FC693F" w:rsidRPr="0006063C" w:rsidSect="00034616">
      <w:headerReference w:type="default" r:id="rId9"/>
      <w:footerReference w:type="default" r:id="rId10"/>
      <w:pgSz w:w="12240" w:h="15840"/>
      <w:pgMar w:top="1134"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5"/>
      </w:rPr>
      <w:t xml:space="preserve">— </w:t>
      <w:fldChar w:fldCharType="begin"/>
      <w:instrText xml:space="preserve"> PAGE </w:instrText>
      <w:fldChar w:fldCharType="end"/>
    </w:r>
    <w:r>
      <w:rPr>
        <w:color w:val="999999"/>
        <w:sz w:val="15"/>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999999"/>
        <w:sz w:val="15"/>
      </w:rPr>
      <w:t>淮北矿业  |  数据截止 11:30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Microsoft YaHei" w:hAnsi="Microsoft YaHei" w:eastAsia="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Microsoft YaHei" w:hAnsi="Microsoft YaHei" w:eastAsia="Microsoft YaHe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Microsoft YaHei" w:hAnsi="Microsoft YaHei" w:eastAsia="Microsoft YaHe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