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潍柴动力（000338.SZ）午间分析报告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今日全市场情绪偏暖，沪指震荡回升。</w:t>
      </w:r>
      <w:r>
        <w:rPr>
          <w:rFonts w:ascii="Microsoft YaHei" w:hAnsi="Microsoft YaHei"/>
          <w:b/>
          <w:color w:val="1A1A1A"/>
        </w:rPr>
        <w:t>两市成交额达1.48万亿元</w:t>
      </w:r>
      <w:r>
        <w:rPr>
          <w:rFonts w:ascii="Microsoft YaHei" w:hAnsi="Microsoft YaHei"/>
        </w:rPr>
        <w:t xml:space="preserve">，较前一交易日放量约 </w:t>
      </w:r>
      <w:r>
        <w:rPr>
          <w:rFonts w:ascii="Microsoft YaHei" w:hAnsi="Microsoft YaHei"/>
          <w:b/>
          <w:color w:val="1A1A1A"/>
        </w:rPr>
        <w:t>+1516亿元</w:t>
      </w:r>
      <w:r>
        <w:rPr>
          <w:rFonts w:ascii="Microsoft YaHei" w:hAnsi="Microsoft YaHei"/>
        </w:rPr>
        <w:t xml:space="preserve">，市场交投活跃。上涨家数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。涨停58只、跌停19只，涨停梯队中一板51只（晋级率7%），三板3只（晋级率33%），整体短线情绪尚可。</w:t>
      </w:r>
    </w:p>
    <w:p>
      <w:r>
        <w:rPr>
          <w:rFonts w:ascii="Microsoft YaHei" w:hAnsi="Microsoft YaHei"/>
        </w:rPr>
        <w:t>但潍柴动力所属的</w:t>
      </w:r>
      <w:r>
        <w:rPr>
          <w:rFonts w:ascii="Microsoft YaHei" w:hAnsi="Microsoft YaHei"/>
          <w:b/>
          <w:color w:val="1A1A1A"/>
        </w:rPr>
        <w:t>汽车产业链板块表现明显弱于大盘</w:t>
      </w:r>
      <w:r>
        <w:rPr>
          <w:rFonts w:ascii="Microsoft YaHei" w:hAnsi="Microsoft YaHei"/>
        </w:rPr>
        <w:t xml:space="preserve">——新能源汽车板块跌幅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 xml:space="preserve">（排名957/1158），汽车零部件板块 </w:t>
      </w:r>
      <w:r>
        <w:rPr>
          <w:rFonts w:ascii="Microsoft YaHei" w:hAnsi="Microsoft YaHei"/>
          <w:b/>
          <w:color w:val="1A1A1A"/>
        </w:rPr>
        <w:t>-3.19%</w:t>
      </w:r>
      <w:r>
        <w:rPr>
          <w:rFonts w:ascii="Microsoft YaHei" w:hAnsi="Microsoft YaHei"/>
        </w:rPr>
        <w:t xml:space="preserve">，汽车与汽车零部件板块 </w:t>
      </w:r>
      <w:r>
        <w:rPr>
          <w:rFonts w:ascii="Microsoft YaHei" w:hAnsi="Microsoft YaHei"/>
          <w:b/>
          <w:color w:val="1A1A1A"/>
        </w:rPr>
        <w:t>-2.71%</w:t>
      </w:r>
      <w:r>
        <w:rPr>
          <w:rFonts w:ascii="Microsoft YaHei" w:hAnsi="Microsoft YaHei"/>
        </w:rPr>
        <w:t>，板块内整体承压。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24.29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24.60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24.83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25.98 / 23.80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28.29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114.30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8.86%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2098.71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高开低走，振幅巨大</w:t>
      </w:r>
      <w:r>
        <w:rPr>
          <w:rFonts w:ascii="Microsoft YaHei" w:hAnsi="Microsoft YaHei"/>
        </w:rPr>
        <w:t xml:space="preserve">：开盘价24.83元，盘中最高冲至 </w:t>
      </w:r>
      <w:r>
        <w:rPr>
          <w:rFonts w:ascii="Microsoft YaHei" w:hAnsi="Microsoft YaHei"/>
          <w:b/>
          <w:color w:val="1A1A1A"/>
        </w:rPr>
        <w:t>25.98元</w:t>
      </w:r>
      <w:r>
        <w:rPr>
          <w:rFonts w:ascii="Microsoft YaHei" w:hAnsi="Microsoft YaHei"/>
        </w:rPr>
        <w:t xml:space="preserve">（较开盘+4.6%），随后一路回落至最低 </w:t>
      </w:r>
      <w:r>
        <w:rPr>
          <w:rFonts w:ascii="Microsoft YaHei" w:hAnsi="Microsoft YaHei"/>
          <w:b/>
          <w:color w:val="1A1A1A"/>
        </w:rPr>
        <w:t>23.80元</w:t>
      </w:r>
      <w:r>
        <w:rPr>
          <w:rFonts w:ascii="Microsoft YaHei" w:hAnsi="Microsoft YaHei"/>
        </w:rPr>
        <w:t xml:space="preserve">，最终收于24.29元。全天振幅高达 </w:t>
      </w:r>
      <w:r>
        <w:rPr>
          <w:rFonts w:ascii="Microsoft YaHei" w:hAnsi="Microsoft YaHei"/>
          <w:b/>
          <w:color w:val="1A1A1A"/>
        </w:rPr>
        <w:t>8.86%</w:t>
      </w:r>
      <w:r>
        <w:rPr>
          <w:rFonts w:ascii="Microsoft YaHei" w:hAnsi="Microsoft YaHei"/>
        </w:rPr>
        <w:t>，多空博弈极为剧烈。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2.31%</w:t>
      </w:r>
      <w:r>
        <w:rPr>
          <w:rFonts w:ascii="Microsoft YaHei" w:hAnsi="Microsoft YaHei"/>
        </w:rPr>
        <w:t xml:space="preserve">，较上一交易日全天换手率 </w:t>
      </w:r>
      <w:r>
        <w:rPr>
          <w:rFonts w:ascii="Microsoft YaHei" w:hAnsi="Microsoft YaHei"/>
          <w:b/>
          <w:color w:val="1A1A1A"/>
        </w:rPr>
        <w:t>2.18%</w:t>
      </w:r>
      <w:r>
        <w:rPr>
          <w:rFonts w:ascii="Microsoft YaHei" w:hAnsi="Microsoft YaHei"/>
        </w:rPr>
        <w:t xml:space="preserve"> 有所放大（量比1.06），半日即超过昨日全天换手，属于</w:t>
      </w:r>
      <w:r>
        <w:rPr>
          <w:rFonts w:ascii="Microsoft YaHei" w:hAnsi="Microsoft YaHei"/>
          <w:b/>
          <w:color w:val="1A1A1A"/>
        </w:rPr>
        <w:t>放量调整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外盘略大于内盘</w:t>
      </w:r>
      <w:r>
        <w:rPr>
          <w:rFonts w:ascii="Microsoft YaHei" w:hAnsi="Microsoft YaHei"/>
        </w:rPr>
        <w:t>：外盘588,853手 vs 内盘554,097手，买方挂单略强于卖方，但不足以扭转日内颓势。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17.0倍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2.2倍</w:t>
      </w:r>
      <w:r>
        <w:rPr>
          <w:rFonts w:ascii="Microsoft YaHei" w:hAnsi="Microsoft YaHei"/>
        </w:rPr>
        <w:t>，对于国内重卡发动机龙头而言处于历史中低水位。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+7049.76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72分钟 / 49分钟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1494.3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1729.2 万元</w:t>
            </w:r>
          </w:p>
        </w:tc>
      </w:tr>
    </w:tbl>
    <w:p/>
    <w:p>
      <w:r>
        <w:rPr>
          <w:rFonts w:ascii="Microsoft YaHei" w:hAnsi="Microsoft YaHei"/>
        </w:rPr>
        <w:t xml:space="preserve">虽然股价收跌 </w:t>
      </w:r>
      <w:r>
        <w:rPr>
          <w:rFonts w:ascii="Microsoft YaHei" w:hAnsi="Microsoft YaHei"/>
          <w:b/>
          <w:color w:val="1A1A1A"/>
        </w:rPr>
        <w:t>-1.26%</w:t>
      </w:r>
      <w:r>
        <w:rPr>
          <w:rFonts w:ascii="Microsoft YaHei" w:hAnsi="Microsoft YaHei"/>
        </w:rPr>
        <w:t>，但盘中资金呈</w:t>
      </w:r>
      <w:r>
        <w:rPr>
          <w:rFonts w:ascii="Microsoft YaHei" w:hAnsi="Microsoft YaHei"/>
          <w:b/>
          <w:color w:val="1A1A1A"/>
        </w:rPr>
        <w:t>净流入状态</w:t>
      </w:r>
      <w:r>
        <w:rPr>
          <w:rFonts w:ascii="Microsoft YaHei" w:hAnsi="Microsoft YaHei"/>
        </w:rPr>
        <w:t>，说明有资金在股价回落过程中逐步承接。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-2650.56万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+6003.64万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+3696.69万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+7049.76万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  <w:r>
        <w:rPr>
          <w:rFonts w:ascii="Microsoft YaHei" w:hAnsi="Microsoft YaHei"/>
        </w:rPr>
        <w:t xml:space="preserve"> 昨日大单资金净流出 </w:t>
      </w:r>
      <w:r>
        <w:rPr>
          <w:rFonts w:ascii="Microsoft YaHei" w:hAnsi="Microsoft YaHei"/>
          <w:b/>
          <w:color w:val="1A1A1A"/>
        </w:rPr>
        <w:t>-2650万元</w:t>
      </w:r>
      <w:r>
        <w:rPr>
          <w:rFonts w:ascii="Microsoft YaHei" w:hAnsi="Microsoft YaHei"/>
        </w:rPr>
        <w:t>，中单和小单资金承接，结构上呈现</w:t>
      </w:r>
      <w:r>
        <w:rPr>
          <w:rFonts w:ascii="Microsoft YaHei" w:hAnsi="Microsoft YaHei"/>
          <w:b/>
          <w:color w:val="1A1A1A"/>
        </w:rPr>
        <w:t>主力减持、散户和游资承接</w:t>
      </w:r>
      <w:r>
        <w:rPr>
          <w:rFonts w:ascii="Microsoft YaHei" w:hAnsi="Microsoft YaHei"/>
        </w:rPr>
        <w:t>的特征。今日盘中资金虽整体净流入，但结合日内高开低走的走势，不排除主力借冲高继续减仓的可能。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16.59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-5.34%</w:t>
            </w:r>
            <w:r>
              <w:rPr>
                <w:rFonts w:ascii="Microsoft YaHei" w:hAnsi="Microsoft YaHei"/>
                <w:sz w:val="18"/>
              </w:rPr>
              <w:t>（明显下降）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0.23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-11.36%</w:t>
            </w:r>
          </w:p>
        </w:tc>
      </w:tr>
    </w:tbl>
    <w:p/>
    <w:p>
      <w:r>
        <w:rPr>
          <w:rFonts w:ascii="Microsoft YaHei" w:hAnsi="Microsoft YaHei"/>
        </w:rPr>
        <w:t xml:space="preserve">融资余额较前日下降 </w:t>
      </w:r>
      <w:r>
        <w:rPr>
          <w:rFonts w:ascii="Microsoft YaHei" w:hAnsi="Microsoft YaHei"/>
          <w:b/>
          <w:color w:val="1A1A1A"/>
        </w:rPr>
        <w:t>5.34%</w:t>
      </w:r>
      <w:r>
        <w:rPr>
          <w:rFonts w:ascii="Microsoft YaHei" w:hAnsi="Microsoft YaHei"/>
        </w:rPr>
        <w:t>，表明杠杆资金在股价近期波动中趋于谨慎，主动降杠杆。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MA5（约26.81元）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MA10（约26.39元）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布林中轨（约27.15元）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29.71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24.59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24.29元 跌破下轨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全线破位</w:t>
      </w:r>
      <w:r>
        <w:rPr>
          <w:rFonts w:ascii="Microsoft YaHei" w:hAnsi="Microsoft YaHei"/>
        </w:rPr>
        <w:t xml:space="preserve">：当前价24.29元已跌破MA5、MA10、MA20三条短期均线，且偏离MA20幅度达 </w:t>
      </w:r>
      <w:r>
        <w:rPr>
          <w:rFonts w:ascii="Microsoft YaHei" w:hAnsi="Microsoft YaHei"/>
          <w:b/>
          <w:color w:val="1A1A1A"/>
        </w:rPr>
        <w:t>-10.5%</w:t>
      </w:r>
      <w:r>
        <w:rPr>
          <w:rFonts w:ascii="Microsoft YaHei" w:hAnsi="Microsoft YaHei"/>
        </w:rPr>
        <w:t>，短期空头格局明显。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跌破布林下轨</w:t>
      </w:r>
      <w:r>
        <w:rPr>
          <w:rFonts w:ascii="Microsoft YaHei" w:hAnsi="Microsoft YaHei"/>
        </w:rPr>
        <w:t>：布林带下轨位于24.59元，当前价已跌破该位置。理论上属于</w:t>
      </w:r>
      <w:r>
        <w:rPr>
          <w:rFonts w:ascii="Microsoft YaHei" w:hAnsi="Microsoft YaHei"/>
          <w:b/>
          <w:color w:val="1A1A1A"/>
        </w:rPr>
        <w:t>超卖区间</w:t>
      </w:r>
      <w:r>
        <w:rPr>
          <w:rFonts w:ascii="Microsoft YaHei" w:hAnsi="Microsoft YaHei"/>
        </w:rPr>
        <w:t>，短线存在技术性修复需求，但也说明当前下行压力极强。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振幅8.86%</w:t>
      </w:r>
      <w:r>
        <w:rPr>
          <w:rFonts w:ascii="Microsoft YaHei" w:hAnsi="Microsoft YaHei"/>
        </w:rPr>
        <w:t xml:space="preserve">：盘中高低点价差达 </w:t>
      </w:r>
      <w:r>
        <w:rPr>
          <w:rFonts w:ascii="Microsoft YaHei" w:hAnsi="Microsoft YaHei"/>
          <w:b/>
          <w:color w:val="1A1A1A"/>
        </w:rPr>
        <w:t>2.18元</w:t>
      </w:r>
      <w:r>
        <w:rPr>
          <w:rFonts w:ascii="Microsoft YaHei" w:hAnsi="Microsoft YaHei"/>
        </w:rPr>
        <w:t>，资金分歧极大，短期方向不明。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今日与潍柴动力直接相关的重要新闻较少，主要外围事件如下：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美股隔夜收盘分化</w:t>
      </w:r>
      <w:r>
        <w:rPr>
          <w:rFonts w:ascii="Microsoft YaHei" w:hAnsi="Microsoft YaHei"/>
        </w:rPr>
        <w:t xml:space="preserve">：道指涨1.03%，但费城半导体指数大跌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>，光通信、存储板块重挫。特斯拉小幅下跌，Lucid集团因获沙特王子投资涨超21%。整体对A股汽车板块影响偏负面。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固态电池概念局部活跃</w:t>
      </w:r>
      <w:r>
        <w:rPr>
          <w:rFonts w:ascii="Microsoft YaHei" w:hAnsi="Microsoft YaHei"/>
        </w:rPr>
        <w:t xml:space="preserve">：固态电池板块上涨 </w:t>
      </w:r>
      <w:r>
        <w:rPr>
          <w:rFonts w:ascii="Microsoft YaHei" w:hAnsi="Microsoft YaHei"/>
          <w:b/>
          <w:color w:val="1A1A1A"/>
        </w:rPr>
        <w:t>+0.40%</w:t>
      </w:r>
      <w:r>
        <w:rPr>
          <w:rFonts w:ascii="Microsoft YaHei" w:hAnsi="Microsoft YaHei"/>
        </w:rPr>
        <w:t>，国轩控股20000吨固态电池关键材料项目启动。但潍柴动力作为</w:t>
      </w:r>
      <w:r>
        <w:rPr>
          <w:rFonts w:ascii="Microsoft YaHei" w:hAnsi="Microsoft YaHei"/>
          <w:b/>
          <w:color w:val="1A1A1A"/>
        </w:rPr>
        <w:t>传统柴油发动机龙头</w:t>
      </w:r>
      <w:r>
        <w:rPr>
          <w:rFonts w:ascii="Microsoft YaHei" w:hAnsi="Microsoft YaHei"/>
        </w:rPr>
        <w:t>，与固态电池概念的关联度较低，该题材对潍柴股价的提振作用有限。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无重大公告或互动问答信息</w:t>
      </w:r>
      <w:r>
        <w:rPr>
          <w:rFonts w:ascii="Microsoft YaHei" w:hAnsi="Microsoft YaHei"/>
        </w:rPr>
        <w:t>：各类信息源（巨潮、新浪财经、百度财经等）均未检索到潍柴动力直接相关的公告或问答，今日走势更多受</w:t>
      </w:r>
      <w:r>
        <w:rPr>
          <w:rFonts w:ascii="Microsoft YaHei" w:hAnsi="Microsoft YaHei"/>
          <w:b/>
          <w:color w:val="1A1A1A"/>
        </w:rPr>
        <w:t>自身技术面</w:t>
      </w:r>
      <w:r>
        <w:rPr>
          <w:rFonts w:ascii="Microsoft YaHei" w:hAnsi="Microsoft YaHei"/>
        </w:rPr>
        <w:t>及</w:t>
      </w:r>
      <w:r>
        <w:rPr>
          <w:rFonts w:ascii="Microsoft YaHei" w:hAnsi="Microsoft YaHei"/>
          <w:b/>
          <w:color w:val="1A1A1A"/>
        </w:rPr>
        <w:t>板块情绪</w:t>
      </w:r>
      <w:r>
        <w:rPr>
          <w:rFonts w:ascii="Microsoft YaHei" w:hAnsi="Microsoft YaHei"/>
        </w:rPr>
        <w:t>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267/319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1816/3516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135/359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266/998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汽车与汽车零部件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91/257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68/227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板块分析：</w:t>
      </w:r>
      <w:r>
        <w:rPr>
          <w:rFonts w:ascii="Microsoft YaHei" w:hAnsi="Microsoft YaHei"/>
        </w:rPr>
        <w:t xml:space="preserve"> 潍柴动力所在的汽车零部件及高端装备板块今日整体下跌 </w:t>
      </w:r>
      <w:r>
        <w:rPr>
          <w:rFonts w:ascii="Microsoft YaHei" w:hAnsi="Microsoft YaHei"/>
          <w:b/>
          <w:color w:val="1A1A1A"/>
        </w:rPr>
        <w:t>-3%~-4%</w:t>
      </w:r>
      <w:r>
        <w:rPr>
          <w:rFonts w:ascii="Microsoft YaHei" w:hAnsi="Microsoft YaHei"/>
        </w:rPr>
        <w:t xml:space="preserve">，表现弱于大盘。沪深300指数成分股中虽然整体上涨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，但潍柴在319只成分股中排名 </w:t>
      </w:r>
      <w:r>
        <w:rPr>
          <w:rFonts w:ascii="Microsoft YaHei" w:hAnsi="Microsoft YaHei"/>
          <w:b/>
          <w:color w:val="1A1A1A"/>
        </w:rPr>
        <w:t>267位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明显落后</w:t>
      </w:r>
      <w:r>
        <w:rPr>
          <w:rFonts w:ascii="Microsoft YaHei" w:hAnsi="Microsoft YaHei"/>
        </w:rPr>
        <w:t>的标的。板块内领涨的如宇通客车（+7.83%）、立中集团（+7.03%）等，与潍柴的业务相关性不高。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市场热度高，成交放量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高开低走，振幅8.86%，放量下跌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盘中净流入7049万，但昨日大单流出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单日下降5.34%，杠杆资金退潮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跌破所有均线，跌破布林下轨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板块环境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汽车零部件整体弱势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17倍，历史中低水位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偏正面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潍柴动力今日呈现 </w:t>
      </w:r>
      <w:r>
        <w:rPr>
          <w:rFonts w:ascii="Microsoft YaHei" w:hAnsi="Microsoft YaHei"/>
          <w:b/>
          <w:color w:val="1A1A1A"/>
        </w:rPr>
        <w:t>"高开诱多-冲高回落-放量杀跌"</w:t>
      </w:r>
      <w:r>
        <w:rPr>
          <w:rFonts w:ascii="Microsoft YaHei" w:hAnsi="Microsoft YaHei"/>
        </w:rPr>
        <w:t xml:space="preserve"> 的典型弱势形态。盘中最高触及25.98元后急速跳水，振幅近9%，显示上方抛压沉重。虽然盘中资金呈净流入状态，但结合昨日大单净流出的数据，资金结构仍以</w:t>
      </w:r>
      <w:r>
        <w:rPr>
          <w:rFonts w:ascii="Microsoft YaHei" w:hAnsi="Microsoft YaHei"/>
          <w:b/>
          <w:color w:val="1A1A1A"/>
        </w:rPr>
        <w:t>中小单承接、大单减仓</w:t>
      </w:r>
      <w:r>
        <w:rPr>
          <w:rFonts w:ascii="Microsoft YaHei" w:hAnsi="Microsoft YaHei"/>
        </w:rPr>
        <w:t>为主。技术面上股价已破位至布林下轨下方，短期修复需要放量重新站回24.59元关键支撑位。考虑到动态PE仅17倍、PB仅2.2倍，估值层面提供一定安全垫，但短线博弈风险较高，建议</w:t>
      </w:r>
      <w:r>
        <w:rPr>
          <w:rFonts w:ascii="Microsoft YaHei" w:hAnsi="Microsoft YaHei"/>
          <w:b/>
          <w:color w:val="1A1A1A"/>
        </w:rPr>
        <w:t>观望为主</w:t>
      </w:r>
      <w:r>
        <w:rPr>
          <w:rFonts w:ascii="Microsoft YaHei" w:hAnsi="Microsoft YaHei"/>
        </w:rPr>
        <w:t>，等待股价企稳并出现明确的底部放量信号再行决策。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以上分析仅基于盘面数据和公开资讯，不构成投资建议。投资有风险，决策需谨慎。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潍柴动力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