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美的集团（000333.SZ）午间分析报告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今日全市场呈现</w:t>
      </w:r>
      <w:r>
        <w:rPr>
          <w:rFonts w:ascii="Microsoft YaHei" w:hAnsi="Microsoft YaHei"/>
          <w:b/>
          <w:color w:val="1A1A1A"/>
        </w:rPr>
        <w:t>显著分化</w:t>
      </w:r>
      <w:r>
        <w:rPr>
          <w:rFonts w:ascii="Microsoft YaHei" w:hAnsi="Microsoft YaHei"/>
        </w:rPr>
        <w:t>格局。沪指受权重蓝筹支撑相对抗跌，但双创指数大幅走弱，创业板指盘中一度跌超6%，科创50跌超6%。全市场上涨3431家、下跌2000家，涨停58家、跌停19家，赚钱效应仅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，市场情绪呈现"指数弱、个股分化"的特征。</w:t>
      </w:r>
    </w:p>
    <w:p>
      <w:r>
        <w:rPr>
          <w:rFonts w:ascii="Microsoft YaHei" w:hAnsi="Microsoft YaHei"/>
        </w:rPr>
        <w:t>算力硬件、半导体芯片、煤炭、贵金属等板块大幅杀跌，而</w:t>
      </w:r>
      <w:r>
        <w:rPr>
          <w:rFonts w:ascii="Microsoft YaHei" w:hAnsi="Microsoft YaHei"/>
          <w:b/>
          <w:color w:val="1A1A1A"/>
        </w:rPr>
        <w:t>白色家电龙头美的集团逆势走强</w:t>
      </w:r>
      <w:r>
        <w:rPr>
          <w:rFonts w:ascii="Microsoft YaHei" w:hAnsi="Microsoft YaHei"/>
        </w:rPr>
        <w:t>，表现出显著的防御属性和资金避风港效应。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84.30元</w:t>
            </w:r>
            <w:r>
              <w:rPr>
                <w:rFonts w:ascii="Microsoft YaHei" w:hAnsi="Microsoft YaHei"/>
                <w:sz w:val="18"/>
              </w:rPr>
              <w:t>（+1.92%）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81.23 / 84.50 / 81.11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54.70万手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45.72亿元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0.80%（昨日日终0.49%）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12.67倍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3.15倍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6425.11亿元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>今日早盘低开于</w:t>
      </w:r>
      <w:r>
        <w:rPr>
          <w:rFonts w:ascii="Microsoft YaHei" w:hAnsi="Microsoft YaHei"/>
          <w:b/>
          <w:color w:val="1A1A1A"/>
        </w:rPr>
        <w:t>81.23元</w:t>
      </w:r>
      <w:r>
        <w:rPr>
          <w:rFonts w:ascii="Microsoft YaHei" w:hAnsi="Microsoft YaHei"/>
        </w:rPr>
        <w:t>（较昨收-1.79%），随即快速拉升至红盘，全天呈现"V型反转"走势，盘中最高触及84.50元，最终收于84.30元。</w:t>
      </w:r>
    </w:p>
    <w:p>
      <w:pPr>
        <w:pStyle w:val="ListBullet"/>
      </w:pPr>
      <w:r>
        <w:rPr>
          <w:rFonts w:ascii="Microsoft YaHei" w:hAnsi="Microsoft YaHei"/>
        </w:rPr>
        <w:t>成交额</w:t>
      </w:r>
      <w:r>
        <w:rPr>
          <w:rFonts w:ascii="Microsoft YaHei" w:hAnsi="Microsoft YaHei"/>
          <w:b/>
          <w:color w:val="1A1A1A"/>
        </w:rPr>
        <w:t>45.72亿元</w:t>
      </w:r>
      <w:r>
        <w:rPr>
          <w:rFonts w:ascii="Microsoft YaHei" w:hAnsi="Microsoft YaHei"/>
        </w:rPr>
        <w:t>，量比</w:t>
      </w:r>
      <w:r>
        <w:rPr>
          <w:rFonts w:ascii="Microsoft YaHei" w:hAnsi="Microsoft YaHei"/>
          <w:b/>
          <w:color w:val="1A1A1A"/>
        </w:rPr>
        <w:t>1.31</w:t>
      </w:r>
      <w:r>
        <w:rPr>
          <w:rFonts w:ascii="Microsoft YaHei" w:hAnsi="Microsoft YaHei"/>
        </w:rPr>
        <w:t>，较昨日明显放量，显示资金参与意愿强烈。</w:t>
      </w:r>
    </w:p>
    <w:p>
      <w:pPr>
        <w:pStyle w:val="ListBullet"/>
      </w:pPr>
      <w:r>
        <w:rPr>
          <w:rFonts w:ascii="Microsoft YaHei" w:hAnsi="Microsoft YaHei"/>
        </w:rPr>
        <w:t>换手率0.80%较昨日0.49%提升</w:t>
      </w:r>
      <w:r>
        <w:rPr>
          <w:rFonts w:ascii="Microsoft YaHei" w:hAnsi="Microsoft YaHei"/>
          <w:b/>
          <w:color w:val="1A1A1A"/>
        </w:rPr>
        <w:t>63%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显著放量上涨</w:t>
      </w:r>
      <w:r>
        <w:rPr>
          <w:rFonts w:ascii="Microsoft YaHei" w:hAnsi="Microsoft YaHei"/>
        </w:rPr>
        <w:t>，量价配合健康。</w:t>
      </w:r>
    </w:p>
    <w:p>
      <w:pPr>
        <w:pStyle w:val="ListBullet"/>
      </w:pPr>
      <w:r>
        <w:rPr>
          <w:rFonts w:ascii="Microsoft YaHei" w:hAnsi="Microsoft YaHei"/>
        </w:rPr>
        <w:t>动态PE仅</w:t>
      </w:r>
      <w:r>
        <w:rPr>
          <w:rFonts w:ascii="Microsoft YaHei" w:hAnsi="Microsoft YaHei"/>
          <w:b/>
          <w:color w:val="1A1A1A"/>
        </w:rPr>
        <w:t>12.67倍</w:t>
      </w:r>
      <w:r>
        <w:rPr>
          <w:rFonts w:ascii="Microsoft YaHei" w:hAnsi="Microsoft YaHei"/>
        </w:rPr>
        <w:t>，估值处于历史相对低位区间，具备较好的安全边际。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p>
      <w:r>
        <w:rPr>
          <w:rFonts w:ascii="Microsoft YaHei" w:hAnsi="Microsoft YaHei"/>
        </w:rPr>
        <w:t>今日午间收盘净流向：</w:t>
      </w:r>
      <w:r>
        <w:rPr>
          <w:rFonts w:ascii="Microsoft YaHei" w:hAnsi="Microsoft YaHei"/>
          <w:b/>
          <w:color w:val="1A1A1A"/>
        </w:rPr>
        <w:t>净流入2.84亿元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6219.2万元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1945.4万元</w:t>
            </w:r>
          </w:p>
        </w:tc>
      </w:tr>
    </w:tbl>
    <w:p/>
    <w:p>
      <w:r>
        <w:rPr>
          <w:rFonts w:ascii="Microsoft YaHei" w:hAnsi="Microsoft YaHei"/>
        </w:rPr>
        <w:t>资金面呈现</w:t>
      </w:r>
      <w:r>
        <w:rPr>
          <w:rFonts w:ascii="Microsoft YaHei" w:hAnsi="Microsoft YaHei"/>
          <w:b/>
          <w:color w:val="1A1A1A"/>
        </w:rPr>
        <w:t>压倒性净流入</w:t>
      </w:r>
      <w:r>
        <w:rPr>
          <w:rFonts w:ascii="Microsoft YaHei" w:hAnsi="Microsoft YaHei"/>
        </w:rPr>
        <w:t>状态，流入时长占比</w:t>
      </w:r>
      <w:r>
        <w:rPr>
          <w:rFonts w:ascii="Microsoft YaHei" w:hAnsi="Microsoft YaHei"/>
          <w:b/>
          <w:color w:val="1A1A1A"/>
        </w:rPr>
        <w:t>58.7%</w:t>
      </w:r>
      <w:r>
        <w:rPr>
          <w:rFonts w:ascii="Microsoft YaHei" w:hAnsi="Microsoft YaHei"/>
        </w:rPr>
        <w:t>，且最大单分钟流入量（6219万）远高于最大流出量（1945万），说明主力买入意愿坚决。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+9264万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+1.37亿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+5484万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+2.84亿</w:t>
            </w:r>
          </w:p>
        </w:tc>
      </w:tr>
    </w:tbl>
    <w:p/>
    <w:p>
      <w:r>
        <w:rPr>
          <w:rFonts w:ascii="Microsoft YaHei" w:hAnsi="Microsoft YaHei"/>
        </w:rPr>
        <w:t>上一个交易日已呈现</w:t>
      </w:r>
      <w:r>
        <w:rPr>
          <w:rFonts w:ascii="Microsoft YaHei" w:hAnsi="Microsoft YaHei"/>
          <w:b/>
          <w:color w:val="1A1A1A"/>
        </w:rPr>
        <w:t>全维度净流入</w:t>
      </w:r>
      <w:r>
        <w:rPr>
          <w:rFonts w:ascii="Microsoft YaHei" w:hAnsi="Microsoft YaHei"/>
        </w:rPr>
        <w:t>，大单和中单合计净流入超</w:t>
      </w:r>
      <w:r>
        <w:rPr>
          <w:rFonts w:ascii="Microsoft YaHei" w:hAnsi="Microsoft YaHei"/>
          <w:b/>
          <w:color w:val="1A1A1A"/>
        </w:rPr>
        <w:t>2.3亿元</w:t>
      </w:r>
      <w:r>
        <w:rPr>
          <w:rFonts w:ascii="Microsoft YaHei" w:hAnsi="Microsoft YaHei"/>
        </w:rPr>
        <w:t>，机构资金持续建仓特征明显。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38.19亿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-0.97%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1.94亿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+6.75%</w:t>
            </w:r>
          </w:p>
        </w:tc>
      </w:tr>
    </w:tbl>
    <w:p/>
    <w:p>
      <w:r>
        <w:rPr>
          <w:rFonts w:ascii="Microsoft YaHei" w:hAnsi="Microsoft YaHei"/>
        </w:rPr>
        <w:t>融资余额小幅下降，而融券余额有所增加，但在股价强势上涨背景下，融券增加更多是短期博弈行为，不足为虑。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84.33元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贴近（-0.04%）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82.89元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上方+1.7%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80.50元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上方+4.7%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85.98元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84.30元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75.02元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带宽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10.96元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>股价</w:t>
      </w:r>
      <w:r>
        <w:rPr>
          <w:rFonts w:ascii="Microsoft YaHei" w:hAnsi="Microsoft YaHei"/>
          <w:b/>
          <w:color w:val="1A1A1A"/>
        </w:rPr>
        <w:t>精准贴住MA5</w:t>
      </w:r>
      <w:r>
        <w:rPr>
          <w:rFonts w:ascii="Microsoft YaHei" w:hAnsi="Microsoft YaHei"/>
        </w:rPr>
        <w:t>（84.33元），小幅站于其上，呈强势整理姿态。</w:t>
      </w:r>
    </w:p>
    <w:p>
      <w:pPr>
        <w:pStyle w:val="ListBullet"/>
      </w:pPr>
      <w:r>
        <w:rPr>
          <w:rFonts w:ascii="Microsoft YaHei" w:hAnsi="Microsoft YaHei"/>
        </w:rPr>
        <w:t>与MA10、MA20保持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，中期趋势向上格局未变。</w:t>
      </w:r>
    </w:p>
    <w:p>
      <w:pPr>
        <w:pStyle w:val="ListBullet"/>
      </w:pPr>
      <w:r>
        <w:rPr>
          <w:rFonts w:ascii="Microsoft YaHei" w:hAnsi="Microsoft YaHei"/>
        </w:rPr>
        <w:t>当前价距离布林上轨（85.98元）仅</w:t>
      </w:r>
      <w:r>
        <w:rPr>
          <w:rFonts w:ascii="Microsoft YaHei" w:hAnsi="Microsoft YaHei"/>
          <w:b/>
          <w:color w:val="1A1A1A"/>
        </w:rPr>
        <w:t>2.0%</w:t>
      </w:r>
      <w:r>
        <w:rPr>
          <w:rFonts w:ascii="Microsoft YaHei" w:hAnsi="Microsoft YaHei"/>
        </w:rPr>
        <w:t>空间，若午后继续上攻，需关注上轨压力。</w:t>
      </w:r>
    </w:p>
    <w:p>
      <w:pPr>
        <w:pStyle w:val="ListBullet"/>
      </w:pPr>
      <w:r>
        <w:rPr>
          <w:rFonts w:ascii="Microsoft YaHei" w:hAnsi="Microsoft YaHei"/>
        </w:rPr>
        <w:t>今日振幅高达</w:t>
      </w:r>
      <w:r>
        <w:rPr>
          <w:rFonts w:ascii="Microsoft YaHei" w:hAnsi="Microsoft YaHei"/>
          <w:b/>
          <w:color w:val="1A1A1A"/>
        </w:rPr>
        <w:t>4.1%</w:t>
      </w:r>
      <w:r>
        <w:rPr>
          <w:rFonts w:ascii="Microsoft YaHei" w:hAnsi="Microsoft YaHei"/>
        </w:rPr>
        <w:t>，说明多空博弈激烈，但多方最终占据主导，收于日内高位附近。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影响分析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【美股半导体/存储板块持续暴跌】</w:t>
      </w:r>
      <w:r>
        <w:rPr>
          <w:rFonts w:ascii="Microsoft YaHei" w:hAnsi="Microsoft YaHei"/>
        </w:rPr>
        <w:t xml:space="preserve"> — 费城半导体指数连续两日重挫，SK海力士跌破IPO发行价，闪迪、铠侠等存储龙头较年内高点回撤超50%。</w:t>
      </w:r>
      <w:r>
        <w:rPr>
          <w:rFonts w:ascii="Microsoft YaHei" w:hAnsi="Microsoft YaHei"/>
          <w:b/>
          <w:color w:val="1A1A1A"/>
        </w:rPr>
        <w:t>关联度：偏低</w:t>
      </w:r>
      <w:r>
        <w:rPr>
          <w:rFonts w:ascii="Microsoft YaHei" w:hAnsi="Microsoft YaHei"/>
        </w:rPr>
        <w:t>。美的集团核心业务为白色家电，半导体产业链对其直接影响有限，反而可能强化资金从高估值科技股向消费蓝筹的"高低切换"逻辑。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【智能电网板块逆势走强（+0.55%）】</w:t>
      </w:r>
      <w:r>
        <w:rPr>
          <w:rFonts w:ascii="Microsoft YaHei" w:hAnsi="Microsoft YaHei"/>
        </w:rPr>
        <w:t xml:space="preserve"> — 受国家电网2026年上半年固定资产投资超3100亿元、同比增长12.6%的消息提振，电网设备板块活跃。美的集团旗下中央空调、楼宇控制等业务与电网/能效管理相关，但并非核心驱动力。</w:t>
      </w:r>
      <w:r>
        <w:rPr>
          <w:rFonts w:ascii="Microsoft YaHei" w:hAnsi="Microsoft YaHei"/>
          <w:b/>
          <w:color w:val="1A1A1A"/>
        </w:rPr>
        <w:t>关联度：中等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【家居装饰板块走强】</w:t>
      </w:r>
      <w:r>
        <w:rPr>
          <w:rFonts w:ascii="Microsoft YaHei" w:hAnsi="Microsoft YaHei"/>
        </w:rPr>
        <w:t xml:space="preserve"> — 苹果计划大举进军智能家居市场，提振家居板块情绪。美的作为白电龙头，在智能家居生态中具备较强竞争力。</w:t>
      </w:r>
      <w:r>
        <w:rPr>
          <w:rFonts w:ascii="Microsoft YaHei" w:hAnsi="Microsoft YaHei"/>
          <w:b/>
          <w:color w:val="1A1A1A"/>
        </w:rPr>
        <w:t>关联度：中等偏正面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【双创指数大跌，半导体芯片领跌】</w:t>
      </w:r>
      <w:r>
        <w:rPr>
          <w:rFonts w:ascii="Microsoft YaHei" w:hAnsi="Microsoft YaHei"/>
        </w:rPr>
        <w:t xml:space="preserve"> — 创业板指跌近7%、科创50跌超6%，资金从高估值成长股出逃明显，利好低估值的消费白马股作为资金"避风港"。</w:t>
      </w:r>
      <w:r>
        <w:rPr>
          <w:rFonts w:ascii="Microsoft YaHei" w:hAnsi="Microsoft YaHei"/>
          <w:b/>
          <w:color w:val="1A1A1A"/>
        </w:rPr>
        <w:t>关联度：正面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核心结论</w:t>
      </w:r>
    </w:p>
    <w:p>
      <w:r>
        <w:rPr>
          <w:rFonts w:ascii="Microsoft YaHei" w:hAnsi="Microsoft YaHei"/>
        </w:rPr>
        <w:t>今日美的集团的强势表现并非来自某一特定利好催化，而是多重因素共振的结果：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高低切换</w:t>
      </w:r>
      <w:r>
        <w:rPr>
          <w:rFonts w:ascii="Microsoft YaHei" w:hAnsi="Microsoft YaHei"/>
        </w:rPr>
        <w:t>：半导体/AI板块大幅杀跌，资金寻求安全边际更高的标的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低估值优势</w:t>
      </w:r>
      <w:r>
        <w:rPr>
          <w:rFonts w:ascii="Microsoft YaHei" w:hAnsi="Microsoft YaHei"/>
        </w:rPr>
        <w:t>：12.67倍PE在消费蓝筹中具备吸引力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防御属性</w:t>
      </w:r>
      <w:r>
        <w:rPr>
          <w:rFonts w:ascii="Microsoft YaHei" w:hAnsi="Microsoft YaHei"/>
        </w:rPr>
        <w:t>：白电龙头现金流稳定，在市场不确定性中受资金青睐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7/59（领涨梯队）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板块整体走弱，但美的逆势领涨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家庭耐用消费品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18/131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184/319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权重蓝筹整体走强，美的跟随核心资产反弹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-1.88%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54/266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概念板块偏弱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789/3516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全市场两融标的整体偏弱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板块维度亮点</w:t>
      </w:r>
      <w:r>
        <w:rPr>
          <w:rFonts w:ascii="Microsoft YaHei" w:hAnsi="Microsoft YaHei"/>
        </w:rPr>
        <w:t>：家用电器板块整体下跌</w:t>
      </w:r>
      <w:r>
        <w:rPr>
          <w:rFonts w:ascii="Microsoft YaHei" w:hAnsi="Microsoft YaHei"/>
          <w:b/>
          <w:color w:val="1A1A1A"/>
        </w:rPr>
        <w:t>2.70%</w:t>
      </w:r>
      <w:r>
        <w:rPr>
          <w:rFonts w:ascii="Microsoft YaHei" w:hAnsi="Microsoft YaHei"/>
        </w:rPr>
        <w:t>，但美的集团逆势上涨</w:t>
      </w:r>
      <w:r>
        <w:rPr>
          <w:rFonts w:ascii="Microsoft YaHei" w:hAnsi="Microsoft YaHei"/>
          <w:b/>
          <w:color w:val="1A1A1A"/>
        </w:rPr>
        <w:t>1.92%</w:t>
      </w:r>
      <w:r>
        <w:rPr>
          <w:rFonts w:ascii="Microsoft YaHei" w:hAnsi="Microsoft YaHei"/>
        </w:rPr>
        <w:t>，与板块形成显著背离。板块内领涨的立霸股份（+9.32%）、科沃斯（+3.58%）均为小市值品种，美的作为超6000亿市值龙头逆势走强，信号意义更强。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净流入2.84亿，大单/中单均大幅流入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多头排列，量价配合，逼近布林上轨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12.67倍，历史低位区间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家电板块承压但个股强势，凸显龙头地位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无直接利好，受益于资金高低切换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午间核心判断：</w:t>
      </w:r>
      <w:r>
        <w:rPr>
          <w:rFonts w:ascii="Microsoft YaHei" w:hAnsi="Microsoft YaHei"/>
        </w:rPr>
        <w:t xml:space="preserve"> 美的集团今日走出</w:t>
      </w:r>
      <w:r>
        <w:rPr>
          <w:rFonts w:ascii="Microsoft YaHei" w:hAnsi="Microsoft YaHei"/>
          <w:b/>
          <w:color w:val="1A1A1A"/>
        </w:rPr>
        <w:t>独立于大盘和板块的强势行情</w:t>
      </w:r>
      <w:r>
        <w:rPr>
          <w:rFonts w:ascii="Microsoft YaHei" w:hAnsi="Microsoft YaHei"/>
        </w:rPr>
        <w:t>，在双创指数重挫、半导体板块暴跌的背景下，作为低估值消费蓝筹龙头获得了明显的资金流入。早盘低开后V型反转收涨</w:t>
      </w:r>
      <w:r>
        <w:rPr>
          <w:rFonts w:ascii="Microsoft YaHei" w:hAnsi="Microsoft YaHei"/>
          <w:b/>
          <w:color w:val="1A1A1A"/>
        </w:rPr>
        <w:t>1.92%</w:t>
      </w:r>
      <w:r>
        <w:rPr>
          <w:rFonts w:ascii="Microsoft YaHei" w:hAnsi="Microsoft YaHei"/>
        </w:rPr>
        <w:t>，量比1.31的放量配合，技术面站稳MA5/MA10/MA20多头排列，均呈现健康的上升结构。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>布林上轨</w:t>
      </w:r>
      <w:r>
        <w:rPr>
          <w:rFonts w:ascii="Microsoft YaHei" w:hAnsi="Microsoft YaHei"/>
          <w:b/>
          <w:color w:val="1A1A1A"/>
        </w:rPr>
        <w:t>85.98元</w:t>
      </w:r>
      <w:r>
        <w:rPr>
          <w:rFonts w:ascii="Microsoft YaHei" w:hAnsi="Microsoft YaHei"/>
        </w:rPr>
        <w:t>附近的技术压力，若能突破则打开上行空间</w:t>
      </w:r>
    </w:p>
    <w:p>
      <w:pPr>
        <w:pStyle w:val="ListNumber"/>
      </w:pPr>
      <w:r>
        <w:rPr>
          <w:rFonts w:ascii="Microsoft YaHei" w:hAnsi="Microsoft YaHei"/>
        </w:rPr>
        <w:t>是否延续放量态势，量比维持在1.2以上为健康水平</w:t>
      </w:r>
    </w:p>
    <w:p>
      <w:pPr>
        <w:pStyle w:val="ListNumber"/>
      </w:pPr>
      <w:r>
        <w:rPr>
          <w:rFonts w:ascii="Microsoft YaHei" w:hAnsi="Microsoft YaHei"/>
        </w:rPr>
        <w:t>全市场情绪是否进一步恶化导致系统性抛压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若午后大盘加速下跌，不排除个股受系统性拖累回踩MA10（82.89元）支撑；融券余额小幅增加也需关注短期博弈压力。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*免责声明：本报告基于公开数据整理分析，不构成投资建议。股市有风险，投资需谨慎。*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美的集团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