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药明康德（603259.SH）午间分析报告</w:t>
      </w:r>
    </w:p>
    <w:p>
      <w:r>
        <w:rPr>
          <w:rFonts w:ascii="Microsoft YaHei" w:hAnsi="Microsoft YaHei"/>
        </w:rPr>
        <w:t>&gt; 报告时间：2026年7月29日 11:30 | 分析师：A股市场分析师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今日A股市场整体情绪偏暖，全市场成交额达 </w:t>
      </w:r>
      <w:r>
        <w:rPr>
          <w:rFonts w:ascii="Microsoft YaHei" w:hAnsi="Microsoft YaHei"/>
          <w:b/>
          <w:color w:val="1A1A1A"/>
        </w:rPr>
        <w:t>1.48万亿元（+1516亿）</w:t>
      </w:r>
      <w:r>
        <w:rPr>
          <w:rFonts w:ascii="Microsoft YaHei" w:hAnsi="Microsoft YaHei"/>
        </w:rPr>
        <w:t xml:space="preserve">，上涨家数 </w:t>
      </w:r>
      <w:r>
        <w:rPr>
          <w:rFonts w:ascii="Microsoft YaHei" w:hAnsi="Microsoft YaHei"/>
          <w:b/>
          <w:color w:val="1A1A1A"/>
        </w:rPr>
        <w:t>3431只</w:t>
      </w:r>
      <w:r>
        <w:rPr>
          <w:rFonts w:ascii="Microsoft YaHei" w:hAnsi="Microsoft YaHei"/>
        </w:rPr>
        <w:t xml:space="preserve">，下跌 </w:t>
      </w:r>
      <w:r>
        <w:rPr>
          <w:rFonts w:ascii="Microsoft YaHei" w:hAnsi="Microsoft YaHei"/>
          <w:b/>
          <w:color w:val="1A1A1A"/>
        </w:rPr>
        <w:t>2000只</w:t>
      </w:r>
      <w:r>
        <w:rPr>
          <w:rFonts w:ascii="Microsoft YaHei" w:hAnsi="Microsoft YaHei"/>
        </w:rPr>
        <w:t xml:space="preserve">，涨停58只/跌停19只，上涨占比 </w:t>
      </w:r>
      <w:r>
        <w:rPr>
          <w:rFonts w:ascii="Microsoft YaHei" w:hAnsi="Microsoft YaHei"/>
          <w:b/>
          <w:color w:val="1A1A1A"/>
        </w:rPr>
        <w:t>78%</w:t>
      </w:r>
      <w:r>
        <w:rPr>
          <w:rFonts w:ascii="Microsoft YaHei" w:hAnsi="Microsoft YaHei"/>
        </w:rPr>
        <w:t xml:space="preserve">。市场热度评分 </w:t>
      </w:r>
      <w:r>
        <w:rPr>
          <w:rFonts w:ascii="Microsoft YaHei" w:hAnsi="Microsoft YaHei"/>
          <w:b/>
          <w:color w:val="1A1A1A"/>
        </w:rPr>
        <w:t>57（高）</w:t>
      </w:r>
      <w:r>
        <w:rPr>
          <w:rFonts w:ascii="Microsoft YaHei" w:hAnsi="Microsoft YaHei"/>
        </w:rPr>
        <w:t xml:space="preserve">，整体赚钱效应为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 xml:space="preserve">，市场处于放量普涨格局。上证50样本股板块涨幅达 </w:t>
      </w:r>
      <w:r>
        <w:rPr>
          <w:rFonts w:ascii="Microsoft YaHei" w:hAnsi="Microsoft YaHei"/>
          <w:b/>
          <w:color w:val="1A1A1A"/>
        </w:rPr>
        <w:t>+3.11%</w:t>
      </w:r>
      <w:r>
        <w:rPr>
          <w:rFonts w:ascii="Microsoft YaHei" w:hAnsi="Microsoft YaHei"/>
        </w:rPr>
        <w:t>，权重蓝筹领涨特征明显。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收盘核心数据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变化/备注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收盘价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124.22元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昨收117.89元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+5.37%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大幅上涨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691,940手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放量显著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8.48亿元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半日即接近前日全日水平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2.8%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较上一交易日1.35%放量约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107%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6.59%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多空博弈激烈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0.83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略低于1，但换手率已放量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均价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122.62元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收盘价高于均价，买盘主导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19.92倍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估值合理偏低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4.66倍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3,706.42亿元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3,072.31亿元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价格走势特征</w:t>
      </w:r>
    </w:p>
    <w:p>
      <w:pPr>
        <w:pStyle w:val="ListBullet"/>
      </w:pPr>
      <w:r>
        <w:rPr>
          <w:rFonts w:ascii="Microsoft YaHei" w:hAnsi="Microsoft YaHei"/>
        </w:rPr>
        <w:t xml:space="preserve">以 </w:t>
      </w:r>
      <w:r>
        <w:rPr>
          <w:rFonts w:ascii="Microsoft YaHei" w:hAnsi="Microsoft YaHei"/>
          <w:b/>
          <w:color w:val="1A1A1A"/>
        </w:rPr>
        <w:t>117.74元</w:t>
      </w:r>
      <w:r>
        <w:rPr>
          <w:rFonts w:ascii="Microsoft YaHei" w:hAnsi="Microsoft YaHei"/>
        </w:rPr>
        <w:t xml:space="preserve"> 开盘（较昨收微跌），</w:t>
      </w:r>
      <w:r>
        <w:rPr>
          <w:rFonts w:ascii="Microsoft YaHei" w:hAnsi="Microsoft YaHei"/>
          <w:b/>
          <w:color w:val="1A1A1A"/>
        </w:rPr>
        <w:t>竞价阶段即涨至+3.87%</w:t>
      </w:r>
      <w:r>
        <w:rPr>
          <w:rFonts w:ascii="Microsoft YaHei" w:hAnsi="Microsoft YaHei"/>
        </w:rPr>
        <w:t>，显示早盘资金抢筹意愿强烈</w:t>
      </w:r>
    </w:p>
    <w:p>
      <w:pPr>
        <w:pStyle w:val="ListBullet"/>
      </w:pPr>
      <w:r>
        <w:rPr>
          <w:rFonts w:ascii="Microsoft YaHei" w:hAnsi="Microsoft YaHei"/>
        </w:rPr>
        <w:t xml:space="preserve">盘中最高触及 </w:t>
      </w:r>
      <w:r>
        <w:rPr>
          <w:rFonts w:ascii="Microsoft YaHei" w:hAnsi="Microsoft YaHei"/>
          <w:b/>
          <w:color w:val="1A1A1A"/>
        </w:rPr>
        <w:t>124.78元</w:t>
      </w:r>
      <w:r>
        <w:rPr>
          <w:rFonts w:ascii="Microsoft YaHei" w:hAnsi="Microsoft YaHei"/>
        </w:rPr>
        <w:t xml:space="preserve">，最低探至 </w:t>
      </w:r>
      <w:r>
        <w:rPr>
          <w:rFonts w:ascii="Microsoft YaHei" w:hAnsi="Microsoft YaHei"/>
          <w:b/>
          <w:color w:val="1A1A1A"/>
        </w:rPr>
        <w:t>117.01元</w:t>
      </w:r>
      <w:r>
        <w:rPr>
          <w:rFonts w:ascii="Microsoft YaHei" w:hAnsi="Microsoft YaHei"/>
        </w:rPr>
        <w:t xml:space="preserve">，振幅 </w:t>
      </w:r>
      <w:r>
        <w:rPr>
          <w:rFonts w:ascii="Microsoft YaHei" w:hAnsi="Microsoft YaHei"/>
          <w:b/>
          <w:color w:val="1A1A1A"/>
        </w:rPr>
        <w:t>6.59%</w:t>
      </w:r>
    </w:p>
    <w:p>
      <w:pPr>
        <w:pStyle w:val="ListBullet"/>
      </w:pPr>
      <w:r>
        <w:rPr>
          <w:rFonts w:ascii="Microsoft YaHei" w:hAnsi="Microsoft YaHei"/>
        </w:rPr>
        <w:t xml:space="preserve">均价 </w:t>
      </w:r>
      <w:r>
        <w:rPr>
          <w:rFonts w:ascii="Microsoft YaHei" w:hAnsi="Microsoft YaHei"/>
          <w:b/>
          <w:color w:val="1A1A1A"/>
        </w:rPr>
        <w:t>122.62元</w:t>
      </w:r>
      <w:r>
        <w:rPr>
          <w:rFonts w:ascii="Microsoft YaHei" w:hAnsi="Microsoft YaHei"/>
        </w:rPr>
        <w:t>，收盘价124.22元位于均价上方，说明</w:t>
      </w:r>
      <w:r>
        <w:rPr>
          <w:rFonts w:ascii="Microsoft YaHei" w:hAnsi="Microsoft YaHei"/>
          <w:b/>
          <w:color w:val="1A1A1A"/>
        </w:rPr>
        <w:t>买方力量持续占优</w:t>
      </w:r>
    </w:p>
    <w:p>
      <w:pPr>
        <w:pStyle w:val="ListBullet"/>
      </w:pPr>
      <w:r>
        <w:rPr>
          <w:rFonts w:ascii="Microsoft YaHei" w:hAnsi="Microsoft YaHei"/>
        </w:rPr>
        <w:t xml:space="preserve">外盘 </w:t>
      </w:r>
      <w:r>
        <w:rPr>
          <w:rFonts w:ascii="Microsoft YaHei" w:hAnsi="Microsoft YaHei"/>
          <w:b/>
          <w:color w:val="1A1A1A"/>
        </w:rPr>
        <w:t>375,045手</w:t>
      </w:r>
      <w:r>
        <w:rPr>
          <w:rFonts w:ascii="Microsoft YaHei" w:hAnsi="Microsoft YaHei"/>
        </w:rPr>
        <w:t xml:space="preserve"> vs 内盘 </w:t>
      </w:r>
      <w:r>
        <w:rPr>
          <w:rFonts w:ascii="Microsoft YaHei" w:hAnsi="Microsoft YaHei"/>
          <w:b/>
          <w:color w:val="1A1A1A"/>
        </w:rPr>
        <w:t>316,895手</w:t>
      </w:r>
      <w:r>
        <w:rPr>
          <w:rFonts w:ascii="Microsoft YaHei" w:hAnsi="Microsoft YaHei"/>
        </w:rPr>
        <w:t xml:space="preserve">，外盘/内盘比为 </w:t>
      </w:r>
      <w:r>
        <w:rPr>
          <w:rFonts w:ascii="Microsoft YaHei" w:hAnsi="Microsoft YaHei"/>
          <w:b/>
          <w:color w:val="1A1A1A"/>
        </w:rPr>
        <w:t>1.18</w:t>
      </w:r>
      <w:r>
        <w:rPr>
          <w:rFonts w:ascii="Microsoft YaHei" w:hAnsi="Microsoft YaHei"/>
        </w:rPr>
        <w:t>，主动买盘明显大于主动卖盘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今日午间资金流向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+5.07亿元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60分钟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60分钟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12,181.1万元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9,357.6万元</w:t>
            </w:r>
          </w:p>
        </w:tc>
      </w:tr>
    </w:tbl>
    <w:p/>
    <w:p>
      <w:r>
        <w:rPr>
          <w:rFonts w:ascii="Microsoft YaHei" w:hAnsi="Microsoft YaHei"/>
        </w:rPr>
        <w:t>资金流向呈</w:t>
      </w:r>
      <w:r>
        <w:rPr>
          <w:rFonts w:ascii="Microsoft YaHei" w:hAnsi="Microsoft YaHei"/>
          <w:b/>
          <w:color w:val="1A1A1A"/>
        </w:rPr>
        <w:t>均衡博弈</w:t>
      </w:r>
      <w:r>
        <w:rPr>
          <w:rFonts w:ascii="Microsoft YaHei" w:hAnsi="Microsoft YaHei"/>
        </w:rPr>
        <w:t xml:space="preserve">态势，买卖分钟数各半，但净流入高达 </w:t>
      </w:r>
      <w:r>
        <w:rPr>
          <w:rFonts w:ascii="Microsoft YaHei" w:hAnsi="Microsoft YaHei"/>
          <w:b/>
          <w:color w:val="1A1A1A"/>
        </w:rPr>
        <w:t>5.07亿元</w:t>
      </w:r>
      <w:r>
        <w:rPr>
          <w:rFonts w:ascii="Microsoft YaHei" w:hAnsi="Microsoft YaHei"/>
        </w:rPr>
        <w:t>，且最大单分钟流入额远超流出额，表明</w:t>
      </w:r>
      <w:r>
        <w:rPr>
          <w:rFonts w:ascii="Microsoft YaHei" w:hAnsi="Microsoft YaHei"/>
          <w:b/>
          <w:color w:val="1A1A1A"/>
        </w:rPr>
        <w:t>大资金逢低吸纳意愿强烈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+5,687.6万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主力机构净买入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+5.07亿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中户跟风明显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-5,643.1万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散户小幅净卖出</w:t>
            </w:r>
          </w:p>
        </w:tc>
      </w:tr>
    </w:tbl>
    <w:p/>
    <w:p>
      <w:r>
        <w:rPr>
          <w:rFonts w:ascii="Microsoft YaHei" w:hAnsi="Microsoft YaHei"/>
        </w:rPr>
        <w:t xml:space="preserve">上一个交易日大单和中单双双净买入，合计净流入 </w:t>
      </w:r>
      <w:r>
        <w:rPr>
          <w:rFonts w:ascii="Microsoft YaHei" w:hAnsi="Microsoft YaHei"/>
          <w:b/>
          <w:color w:val="1A1A1A"/>
        </w:rPr>
        <w:t>5.07亿元</w:t>
      </w:r>
      <w:r>
        <w:rPr>
          <w:rFonts w:ascii="Microsoft YaHei" w:hAnsi="Microsoft YaHei"/>
        </w:rPr>
        <w:t>，小单净卖出，筹码向</w:t>
      </w:r>
      <w:r>
        <w:rPr>
          <w:rFonts w:ascii="Microsoft YaHei" w:hAnsi="Microsoft YaHei"/>
          <w:b/>
          <w:color w:val="1A1A1A"/>
        </w:rPr>
        <w:t>主力集中</w:t>
      </w:r>
      <w:r>
        <w:rPr>
          <w:rFonts w:ascii="Microsoft YaHei" w:hAnsi="Microsoft YaHei"/>
        </w:rPr>
        <w:t>的迹象明显。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融资融券（上一个交易日数据）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变化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51.81亿元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-4.08%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0.42亿元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-8.10%</w:t>
            </w:r>
          </w:p>
        </w:tc>
      </w:tr>
    </w:tbl>
    <w:p/>
    <w:p>
      <w:r>
        <w:rPr>
          <w:rFonts w:ascii="Microsoft YaHei" w:hAnsi="Microsoft YaHei"/>
        </w:rPr>
        <w:t>融资余额与融券余额双双回落。融资余额下降可能反映部分杠杆资金在前期压力位附近止盈，但融券余额更大幅度下降（-8.10%），显示</w:t>
      </w:r>
      <w:r>
        <w:rPr>
          <w:rFonts w:ascii="Microsoft YaHei" w:hAnsi="Microsoft YaHei"/>
          <w:b/>
          <w:color w:val="1A1A1A"/>
        </w:rPr>
        <w:t>空头力量同步收缩</w:t>
      </w:r>
      <w:r>
        <w:rPr>
          <w:rFonts w:ascii="Microsoft YaHei" w:hAnsi="Microsoft YaHei"/>
        </w:rPr>
        <w:t>，市场看空情绪减弱。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状态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126.31元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-1.6%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收盘价位于MA5下方，有待突破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125.08元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贴近MA10，面临短期压制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123.32元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已站上中轨，多头信号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布林带（BOLL）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布林上轨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130.66元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布林中轨（MA20）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123.32元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布林下轨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115.98元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当前价相对中轨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+0.7%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技术研判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关键突破</w:t>
      </w:r>
      <w:r>
        <w:rPr>
          <w:rFonts w:ascii="Microsoft YaHei" w:hAnsi="Microsoft YaHei"/>
        </w:rPr>
        <w:t xml:space="preserve">：当前价 </w:t>
      </w:r>
      <w:r>
        <w:rPr>
          <w:rFonts w:ascii="Microsoft YaHei" w:hAnsi="Microsoft YaHei"/>
          <w:b/>
          <w:color w:val="1A1A1A"/>
        </w:rPr>
        <w:t>124.22元</w:t>
      </w:r>
      <w:r>
        <w:rPr>
          <w:rFonts w:ascii="Microsoft YaHei" w:hAnsi="Microsoft YaHei"/>
        </w:rPr>
        <w:t xml:space="preserve"> 已站上MA20/布林中轨（123.32元），这是自近期调整以来</w:t>
      </w:r>
      <w:r>
        <w:rPr>
          <w:rFonts w:ascii="Microsoft YaHei" w:hAnsi="Microsoft YaHei"/>
          <w:b/>
          <w:color w:val="1A1A1A"/>
        </w:rPr>
        <w:t>首次站上中轨</w:t>
      </w:r>
      <w:r>
        <w:rPr>
          <w:rFonts w:ascii="Microsoft YaHei" w:hAnsi="Microsoft YaHei"/>
        </w:rPr>
        <w:t>，短线转强信号明确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短期压制</w:t>
      </w:r>
      <w:r>
        <w:rPr>
          <w:rFonts w:ascii="Microsoft YaHei" w:hAnsi="Microsoft YaHei"/>
        </w:rPr>
        <w:t xml:space="preserve">：MA10（125.08元）和MA5（126.31元）构成上方两道阻力，午后需观察能否站上 </w:t>
      </w:r>
      <w:r>
        <w:rPr>
          <w:rFonts w:ascii="Microsoft YaHei" w:hAnsi="Microsoft YaHei"/>
          <w:b/>
          <w:color w:val="1A1A1A"/>
        </w:rPr>
        <w:t>125元以上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布林通道</w:t>
      </w:r>
      <w:r>
        <w:rPr>
          <w:rFonts w:ascii="Microsoft YaHei" w:hAnsi="Microsoft YaHei"/>
        </w:rPr>
        <w:t>：当前价位于中轨与上轨之间，通道宽度约14.68元，若持续放量有望向上轨（130.66元）靠拢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风险警示</w:t>
      </w:r>
      <w:r>
        <w:rPr>
          <w:rFonts w:ascii="Microsoft YaHei" w:hAnsi="Microsoft YaHei"/>
        </w:rPr>
        <w:t>：若午后无法站稳中轨（123.32元），则可能重回弱势震荡区间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盘中异动回顾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时间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事件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价格/涨幅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解读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09:25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竞价上涨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+3.87%（127.78元）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集合竞价阶段即大幅高开，资金抢筹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09:30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加速下跌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回落至+1.76%（125.18元）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开盘后短线获利盘涌出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09:31~09:33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有大买盘（2次）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126.43→127.18元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大资金逢低承接，价格快速回升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09:36~09:37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有大卖盘（2次）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127.39→127.44元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上方抛压同步出现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解读</w:t>
      </w:r>
      <w:r>
        <w:rPr>
          <w:rFonts w:ascii="Microsoft YaHei" w:hAnsi="Microsoft YaHei"/>
        </w:rPr>
        <w:t>：早盘呈现典型的"</w:t>
      </w:r>
      <w:r>
        <w:rPr>
          <w:rFonts w:ascii="Microsoft YaHei" w:hAnsi="Microsoft YaHei"/>
          <w:b/>
          <w:color w:val="1A1A1A"/>
        </w:rPr>
        <w:t>竞价抢筹→回落消化→多空拉锯</w:t>
      </w:r>
      <w:r>
        <w:rPr>
          <w:rFonts w:ascii="Microsoft YaHei" w:hAnsi="Microsoft YaHei"/>
        </w:rPr>
        <w:t xml:space="preserve">"走势。主力资金在 </w:t>
      </w:r>
      <w:r>
        <w:rPr>
          <w:rFonts w:ascii="Microsoft YaHei" w:hAnsi="Microsoft YaHei"/>
          <w:b/>
          <w:color w:val="1A1A1A"/>
        </w:rPr>
        <w:t>125~127元区间</w:t>
      </w:r>
      <w:r>
        <w:rPr>
          <w:rFonts w:ascii="Microsoft YaHei" w:hAnsi="Microsoft YaHei"/>
        </w:rPr>
        <w:t xml:space="preserve"> 激烈博弈，两次大买盘表明承接力度强劲，随后大卖盘压制显示上方 </w:t>
      </w:r>
      <w:r>
        <w:rPr>
          <w:rFonts w:ascii="Microsoft YaHei" w:hAnsi="Microsoft YaHei"/>
          <w:b/>
          <w:color w:val="1A1A1A"/>
        </w:rPr>
        <w:t>127~128元</w:t>
      </w:r>
      <w:r>
        <w:rPr>
          <w:rFonts w:ascii="Microsoft YaHei" w:hAnsi="Microsoft YaHei"/>
        </w:rPr>
        <w:t xml:space="preserve"> 区域存在压力。尾盘收于124.22元，均价122.62元之上，多头仍占优。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所属重点板块表现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解读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26/319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大幅跑赢板块均值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上证50样本股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7/55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位列权重股前列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医疗保健(A股)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-0.36%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23/470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医药板块整体偏弱，个股独立走强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制药、生物科技和生命科学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-0.10%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20/335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子板块亦偏弱，龙头效应显著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生命科学工具和服务Ⅲ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-1.13%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3/25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子板块领涨股之一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关键发现</w:t>
      </w:r>
    </w:p>
    <w:p>
      <w:pPr>
        <w:pStyle w:val="ListBullet"/>
      </w:pPr>
      <w:r>
        <w:rPr>
          <w:rFonts w:ascii="Microsoft YaHei" w:hAnsi="Microsoft YaHei"/>
        </w:rPr>
        <w:t xml:space="preserve">药明康德 </w:t>
      </w:r>
      <w:r>
        <w:rPr>
          <w:rFonts w:ascii="Microsoft YaHei" w:hAnsi="Microsoft YaHei"/>
          <w:b/>
          <w:color w:val="1A1A1A"/>
        </w:rPr>
        <w:t>+5.37%</w:t>
      </w:r>
      <w:r>
        <w:rPr>
          <w:rFonts w:ascii="Microsoft YaHei" w:hAnsi="Microsoft YaHei"/>
        </w:rPr>
        <w:t xml:space="preserve"> 的涨幅远超其所属的医疗保健行业（-0.36%）和制药板块（-0.10%）的平均水平，呈现</w:t>
      </w:r>
      <w:r>
        <w:rPr>
          <w:rFonts w:ascii="Microsoft YaHei" w:hAnsi="Microsoft YaHei"/>
          <w:b/>
          <w:color w:val="1A1A1A"/>
        </w:rPr>
        <w:t>典型的龙头独立行情</w:t>
      </w:r>
    </w:p>
    <w:p>
      <w:pPr>
        <w:pStyle w:val="ListBullet"/>
      </w:pPr>
      <w:r>
        <w:rPr>
          <w:rFonts w:ascii="Microsoft YaHei" w:hAnsi="Microsoft YaHei"/>
        </w:rPr>
        <w:t xml:space="preserve">在上证50样本股中排名 </w:t>
      </w:r>
      <w:r>
        <w:rPr>
          <w:rFonts w:ascii="Microsoft YaHei" w:hAnsi="Microsoft YaHei"/>
          <w:b/>
          <w:color w:val="1A1A1A"/>
        </w:rPr>
        <w:t>第7/55</w:t>
      </w:r>
      <w:r>
        <w:rPr>
          <w:rFonts w:ascii="Microsoft YaHei" w:hAnsi="Microsoft YaHei"/>
        </w:rPr>
        <w:t>，与贵州茅台（+5.95%）、中国海油（+10.01%）等权重蓝筹同步走强，显示</w:t>
      </w:r>
      <w:r>
        <w:rPr>
          <w:rFonts w:ascii="Microsoft YaHei" w:hAnsi="Microsoft YaHei"/>
          <w:b/>
          <w:color w:val="1A1A1A"/>
        </w:rPr>
        <w:t>大资金对核心资产的偏好</w:t>
      </w:r>
    </w:p>
    <w:p>
      <w:pPr>
        <w:pStyle w:val="ListBullet"/>
      </w:pPr>
      <w:r>
        <w:rPr>
          <w:rFonts w:ascii="Microsoft YaHei" w:hAnsi="Microsoft YaHei"/>
        </w:rPr>
        <w:t>生命科学工具和服务Ⅲ板块中，药明康德、睿智医药、益诺思等CXO标的集体走强，可能存在</w:t>
      </w:r>
      <w:r>
        <w:rPr>
          <w:rFonts w:ascii="Microsoft YaHei" w:hAnsi="Microsoft YaHei"/>
          <w:b/>
          <w:color w:val="1A1A1A"/>
        </w:rPr>
        <w:t>细分赛道催化因素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主力观点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强势突破，量价配合良好</w:t>
      </w:r>
      <w:r>
        <w:rPr>
          <w:rFonts w:ascii="Microsoft YaHei" w:hAnsi="Microsoft YaHei"/>
        </w:rPr>
        <w:t xml:space="preserve">：半日成交额 </w:t>
      </w:r>
      <w:r>
        <w:rPr>
          <w:rFonts w:ascii="Microsoft YaHei" w:hAnsi="Microsoft YaHei"/>
          <w:b/>
          <w:color w:val="1A1A1A"/>
        </w:rPr>
        <w:t>8.48亿元</w:t>
      </w:r>
      <w:r>
        <w:rPr>
          <w:rFonts w:ascii="Microsoft YaHei" w:hAnsi="Microsoft YaHei"/>
        </w:rPr>
        <w:t xml:space="preserve">，换手率 </w:t>
      </w:r>
      <w:r>
        <w:rPr>
          <w:rFonts w:ascii="Microsoft YaHei" w:hAnsi="Microsoft YaHei"/>
          <w:b/>
          <w:color w:val="1A1A1A"/>
        </w:rPr>
        <w:t>2.8%</w:t>
      </w:r>
      <w:r>
        <w:rPr>
          <w:rFonts w:ascii="Microsoft YaHei" w:hAnsi="Microsoft YaHei"/>
        </w:rPr>
        <w:t xml:space="preserve"> 较上一交易日放量逾一倍，属于典型的</w:t>
      </w:r>
      <w:r>
        <w:rPr>
          <w:rFonts w:ascii="Microsoft YaHei" w:hAnsi="Microsoft YaHei"/>
          <w:b/>
          <w:color w:val="1A1A1A"/>
        </w:rPr>
        <w:t>放量突破形态</w:t>
      </w:r>
      <w:r>
        <w:rPr>
          <w:rFonts w:ascii="Microsoft YaHei" w:hAnsi="Microsoft YaHei"/>
        </w:rPr>
        <w:t xml:space="preserve">。收盘价 </w:t>
      </w:r>
      <w:r>
        <w:rPr>
          <w:rFonts w:ascii="Microsoft YaHei" w:hAnsi="Microsoft YaHei"/>
          <w:b/>
          <w:color w:val="1A1A1A"/>
        </w:rPr>
        <w:t>124.22元</w:t>
      </w:r>
      <w:r>
        <w:rPr>
          <w:rFonts w:ascii="Microsoft YaHei" w:hAnsi="Microsoft YaHei"/>
        </w:rPr>
        <w:t xml:space="preserve"> 站上MA20/布林中轨（123.32元），技术面由弱转强的信号明确。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资金结构健康</w:t>
      </w:r>
      <w:r>
        <w:rPr>
          <w:rFonts w:ascii="Microsoft YaHei" w:hAnsi="Microsoft YaHei"/>
        </w:rPr>
        <w:t xml:space="preserve">：今日午间净流入 </w:t>
      </w:r>
      <w:r>
        <w:rPr>
          <w:rFonts w:ascii="Microsoft YaHei" w:hAnsi="Microsoft YaHei"/>
          <w:b/>
          <w:color w:val="1A1A1A"/>
        </w:rPr>
        <w:t>5.07亿元</w:t>
      </w:r>
      <w:r>
        <w:rPr>
          <w:rFonts w:ascii="Microsoft YaHei" w:hAnsi="Microsoft YaHei"/>
        </w:rPr>
        <w:t>，叠加前一日大单与中单双净买入、小单净卖出的格局，</w:t>
      </w:r>
      <w:r>
        <w:rPr>
          <w:rFonts w:ascii="Microsoft YaHei" w:hAnsi="Microsoft YaHei"/>
          <w:b/>
          <w:color w:val="1A1A1A"/>
        </w:rPr>
        <w:t>筹码正从散户向主力集中</w:t>
      </w:r>
      <w:r>
        <w:rPr>
          <w:rFonts w:ascii="Microsoft YaHei" w:hAnsi="Microsoft YaHei"/>
        </w:rPr>
        <w:t>，利于后续行情延续。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医药板块逆势走强</w:t>
      </w:r>
      <w:r>
        <w:rPr>
          <w:rFonts w:ascii="Microsoft YaHei" w:hAnsi="Microsoft YaHei"/>
        </w:rPr>
        <w:t>：在医药医疗整体板块偏弱（-0.36%）的背景下，药明康德</w:t>
      </w:r>
      <w:r>
        <w:rPr>
          <w:rFonts w:ascii="Microsoft YaHei" w:hAnsi="Microsoft YaHei"/>
          <w:b/>
          <w:color w:val="1A1A1A"/>
        </w:rPr>
        <w:t>独立大涨5.37%</w:t>
      </w:r>
      <w:r>
        <w:rPr>
          <w:rFonts w:ascii="Microsoft YaHei" w:hAnsi="Microsoft YaHei"/>
        </w:rPr>
        <w:t>，这种"行业弱→龙头强"的背离往往是</w:t>
      </w:r>
      <w:r>
        <w:rPr>
          <w:rFonts w:ascii="Microsoft YaHei" w:hAnsi="Microsoft YaHei"/>
          <w:b/>
          <w:color w:val="1A1A1A"/>
        </w:rPr>
        <w:t>机构重仓股回调后的修复行情启动</w:t>
      </w:r>
      <w:r>
        <w:rPr>
          <w:rFonts w:ascii="Microsoft YaHei" w:hAnsi="Microsoft YaHei"/>
        </w:rPr>
        <w:t>信号。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 xml:space="preserve">   - </w:t>
      </w:r>
      <w:r>
        <w:rPr>
          <w:rFonts w:ascii="Microsoft YaHei" w:hAnsi="Microsoft YaHei"/>
          <w:b/>
          <w:color w:val="1A1A1A"/>
        </w:rPr>
        <w:t>短期技术压制</w:t>
      </w:r>
      <w:r>
        <w:rPr>
          <w:rFonts w:ascii="Microsoft YaHei" w:hAnsi="Microsoft YaHei"/>
        </w:rPr>
        <w:t>：MA5（126.31元）和MA10（125.08元）构成近端阻力，午后若量能不足或有</w:t>
      </w:r>
      <w:r>
        <w:rPr>
          <w:rFonts w:ascii="Microsoft YaHei" w:hAnsi="Microsoft YaHei"/>
          <w:b/>
          <w:color w:val="1A1A1A"/>
        </w:rPr>
        <w:t>冲高回落压力</w:t>
      </w:r>
    </w:p>
    <w:p>
      <w:r>
        <w:rPr>
          <w:rFonts w:ascii="Microsoft YaHei" w:hAnsi="Microsoft YaHei"/>
        </w:rPr>
        <w:t xml:space="preserve">   - </w:t>
      </w:r>
      <w:r>
        <w:rPr>
          <w:rFonts w:ascii="Microsoft YaHei" w:hAnsi="Microsoft YaHei"/>
          <w:b/>
          <w:color w:val="1A1A1A"/>
        </w:rPr>
        <w:t>融资余额下降</w:t>
      </w:r>
      <w:r>
        <w:rPr>
          <w:rFonts w:ascii="Microsoft YaHei" w:hAnsi="Microsoft YaHei"/>
        </w:rPr>
        <w:t>：融资余额较前日减少4.08%，杠杆资金态度略偏谨慎</w:t>
      </w:r>
    </w:p>
    <w:p>
      <w:r>
        <w:rPr>
          <w:rFonts w:ascii="Microsoft YaHei" w:hAnsi="Microsoft YaHei"/>
        </w:rPr>
        <w:t xml:space="preserve">   - </w:t>
      </w:r>
      <w:r>
        <w:rPr>
          <w:rFonts w:ascii="Microsoft YaHei" w:hAnsi="Microsoft YaHei"/>
          <w:b/>
          <w:color w:val="1A1A1A"/>
        </w:rPr>
        <w:t>量比0.83</w:t>
      </w:r>
      <w:r>
        <w:rPr>
          <w:rFonts w:ascii="Microsoft YaHei" w:hAnsi="Microsoft YaHei"/>
        </w:rPr>
        <w:t>：半日量比略低于1，午后需关注成交额能否持续放大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午后关注要点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 xml:space="preserve">   - 能否站稳 </w:t>
      </w:r>
      <w:r>
        <w:rPr>
          <w:rFonts w:ascii="Microsoft YaHei" w:hAnsi="Microsoft YaHei"/>
          <w:b/>
          <w:color w:val="1A1A1A"/>
        </w:rPr>
        <w:t>125元</w:t>
      </w:r>
      <w:r>
        <w:rPr>
          <w:rFonts w:ascii="Microsoft YaHei" w:hAnsi="Microsoft YaHei"/>
        </w:rPr>
        <w:t xml:space="preserve">（MA10附近）并挑战 </w:t>
      </w:r>
      <w:r>
        <w:rPr>
          <w:rFonts w:ascii="Microsoft YaHei" w:hAnsi="Microsoft YaHei"/>
          <w:b/>
          <w:color w:val="1A1A1A"/>
        </w:rPr>
        <w:t>126~127元</w:t>
      </w:r>
      <w:r>
        <w:rPr>
          <w:rFonts w:ascii="Microsoft YaHei" w:hAnsi="Microsoft YaHei"/>
        </w:rPr>
        <w:t xml:space="preserve"> 区间</w:t>
      </w:r>
    </w:p>
    <w:p>
      <w:r>
        <w:rPr>
          <w:rFonts w:ascii="Microsoft YaHei" w:hAnsi="Microsoft YaHei"/>
        </w:rPr>
        <w:t xml:space="preserve">   - 若回落，</w:t>
      </w:r>
      <w:r>
        <w:rPr>
          <w:rFonts w:ascii="Microsoft YaHei" w:hAnsi="Microsoft YaHei"/>
          <w:b/>
          <w:color w:val="1A1A1A"/>
        </w:rPr>
        <w:t>123.32元（MA20/布林中轨）</w:t>
      </w:r>
      <w:r>
        <w:rPr>
          <w:rFonts w:ascii="Microsoft YaHei" w:hAnsi="Microsoft YaHei"/>
        </w:rPr>
        <w:t xml:space="preserve"> 为关键支撑位，失守则短线转弱</w:t>
      </w:r>
    </w:p>
    <w:p>
      <w:r>
        <w:rPr>
          <w:rFonts w:ascii="Microsoft YaHei" w:hAnsi="Microsoft YaHei"/>
        </w:rPr>
        <w:t xml:space="preserve">   - 观察同板块CXO标的（睿智医药、康龙化成等）是否形成联动效应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声明</w:t>
      </w:r>
      <w:r>
        <w:rPr>
          <w:rFonts w:ascii="Microsoft YaHei" w:hAnsi="Microsoft YaHei"/>
        </w:rPr>
        <w:t>：本报告基于公开数据整理分析，仅供参考，不构成投资建议。股市有风险，投资需谨慎。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药明康德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