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锦江酒店（600754.SH）午间分析报告</w:t>
      </w:r>
    </w:p>
    <w:p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  <w:color w:val="1A1A1A"/>
        </w:rPr>
        <w:t>数据截止时间</w:t>
      </w:r>
      <w:r>
        <w:rPr>
          <w:rFonts w:ascii="Microsoft YaHei" w:hAnsi="Microsoft YaHei"/>
        </w:rPr>
        <w:t xml:space="preserve">：今日 11:30 收盘 | </w:t>
      </w:r>
      <w:r>
        <w:rPr>
          <w:rFonts w:ascii="Microsoft YaHei" w:hAnsi="Microsoft YaHei"/>
          <w:b/>
          <w:color w:val="1A1A1A"/>
        </w:rPr>
        <w:t>当前价</w:t>
      </w:r>
      <w:r>
        <w:rPr>
          <w:rFonts w:ascii="Microsoft YaHei" w:hAnsi="Microsoft YaHei"/>
        </w:rPr>
        <w:t>：</w:t>
      </w:r>
      <w:r>
        <w:rPr>
          <w:rFonts w:ascii="Microsoft YaHei" w:hAnsi="Microsoft YaHei"/>
          <w:b/>
          <w:color w:val="1A1A1A"/>
        </w:rPr>
        <w:t>18.33 元</w:t>
      </w:r>
      <w:r>
        <w:rPr>
          <w:rFonts w:ascii="Microsoft YaHei" w:hAnsi="Microsoft YaHei"/>
        </w:rPr>
        <w:t>（+3.15%）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今日全市场情绪高涨，市场热度达 </w:t>
      </w:r>
      <w:r>
        <w:rPr>
          <w:rFonts w:ascii="Microsoft YaHei" w:hAnsi="Microsoft YaHei"/>
          <w:b/>
          <w:color w:val="1A1A1A"/>
        </w:rPr>
        <w:t>68（高）</w:t>
      </w:r>
      <w:r>
        <w:rPr>
          <w:rFonts w:ascii="Microsoft YaHei" w:hAnsi="Microsoft YaHei"/>
        </w:rPr>
        <w:t xml:space="preserve">。成交额放大至 </w:t>
      </w:r>
      <w:r>
        <w:rPr>
          <w:rFonts w:ascii="Microsoft YaHei" w:hAnsi="Microsoft YaHei"/>
          <w:b/>
          <w:color w:val="1A1A1A"/>
        </w:rPr>
        <w:t>2.06 万亿（+2960 亿）</w:t>
      </w:r>
      <w:r>
        <w:rPr>
          <w:rFonts w:ascii="Microsoft YaHei" w:hAnsi="Microsoft YaHei"/>
        </w:rPr>
        <w:t xml:space="preserve">，上涨占比 </w:t>
      </w:r>
      <w:r>
        <w:rPr>
          <w:rFonts w:ascii="Microsoft YaHei" w:hAnsi="Microsoft YaHei"/>
          <w:b/>
          <w:color w:val="1A1A1A"/>
        </w:rPr>
        <w:t>83.00%</w:t>
      </w:r>
      <w:r>
        <w:rPr>
          <w:rFonts w:ascii="Microsoft YaHei" w:hAnsi="Microsoft YaHei"/>
        </w:rPr>
        <w:t xml:space="preserve">，赚钱效应 </w:t>
      </w:r>
      <w:r>
        <w:rPr>
          <w:rFonts w:ascii="Microsoft YaHei" w:hAnsi="Microsoft YaHei"/>
          <w:b/>
          <w:color w:val="1A1A1A"/>
        </w:rPr>
        <w:t>51%</w:t>
      </w:r>
      <w:r>
        <w:rPr>
          <w:rFonts w:ascii="Microsoft YaHei" w:hAnsi="Microsoft YaHei"/>
        </w:rPr>
        <w:t xml:space="preserve">。涨跌分布呈现普涨格局，上涨 </w:t>
      </w:r>
      <w:r>
        <w:rPr>
          <w:rFonts w:ascii="Microsoft YaHei" w:hAnsi="Microsoft YaHei"/>
          <w:b/>
          <w:color w:val="1A1A1A"/>
        </w:rPr>
        <w:t>4,103 家</w:t>
      </w:r>
      <w:r>
        <w:rPr>
          <w:rFonts w:ascii="Microsoft YaHei" w:hAnsi="Microsoft YaHei"/>
        </w:rPr>
        <w:t xml:space="preserve"> vs 下跌 </w:t>
      </w:r>
      <w:r>
        <w:rPr>
          <w:rFonts w:ascii="Microsoft YaHei" w:hAnsi="Microsoft YaHei"/>
          <w:b/>
          <w:color w:val="1A1A1A"/>
        </w:rPr>
        <w:t>1,360 家</w:t>
      </w:r>
      <w:r>
        <w:rPr>
          <w:rFonts w:ascii="Microsoft YaHei" w:hAnsi="Microsoft YaHei"/>
        </w:rPr>
        <w:t xml:space="preserve">，涨停 </w:t>
      </w:r>
      <w:r>
        <w:rPr>
          <w:rFonts w:ascii="Microsoft YaHei" w:hAnsi="Microsoft YaHei"/>
          <w:b/>
          <w:color w:val="1A1A1A"/>
        </w:rPr>
        <w:t>76 家</w:t>
      </w:r>
      <w:r>
        <w:rPr>
          <w:rFonts w:ascii="Microsoft YaHei" w:hAnsi="Microsoft YaHei"/>
        </w:rPr>
        <w:t xml:space="preserve">，跌停仅 </w:t>
      </w:r>
      <w:r>
        <w:rPr>
          <w:rFonts w:ascii="Microsoft YaHei" w:hAnsi="Microsoft YaHei"/>
          <w:b/>
          <w:color w:val="1A1A1A"/>
        </w:rPr>
        <w:t>9 家</w:t>
      </w:r>
      <w:r>
        <w:rPr>
          <w:rFonts w:ascii="Microsoft YaHei" w:hAnsi="Microsoft YaHei"/>
        </w:rPr>
        <w:t xml:space="preserve">。涨幅集中在 </w:t>
      </w:r>
      <w:r>
        <w:rPr>
          <w:rFonts w:ascii="Microsoft YaHei" w:hAnsi="Microsoft YaHei"/>
          <w:b/>
          <w:color w:val="1A1A1A"/>
        </w:rPr>
        <w:t>2%~3%</w:t>
      </w:r>
      <w:r>
        <w:rPr>
          <w:rFonts w:ascii="Microsoft YaHei" w:hAnsi="Microsoft YaHei"/>
        </w:rPr>
        <w:t xml:space="preserve"> 区间，市场人气旺盛，为个股走强提供了良好的大盘环境。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核心数据一览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今日午间数据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昨日日终数据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变动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收盘价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18.33 元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17.77 元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+3.15%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成交量（手）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206,206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放量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成交额（万元）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37,627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2.28%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1.98%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放量（1.15倍）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1.48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交投活跃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4.84%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盘中波动较大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35.7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21.80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1.26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1.25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基本持平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总市值（亿元）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195.45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关键解读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量价齐升</w:t>
      </w:r>
      <w:r>
        <w:rPr>
          <w:rFonts w:ascii="Microsoft YaHei" w:hAnsi="Microsoft YaHei"/>
        </w:rPr>
        <w:t xml:space="preserve">：今日午间收盘报 </w:t>
      </w:r>
      <w:r>
        <w:rPr>
          <w:rFonts w:ascii="Microsoft YaHei" w:hAnsi="Microsoft YaHei"/>
          <w:b/>
          <w:color w:val="1A1A1A"/>
        </w:rPr>
        <w:t>18.33 元</w:t>
      </w:r>
      <w:r>
        <w:rPr>
          <w:rFonts w:ascii="Microsoft YaHei" w:hAnsi="Microsoft YaHei"/>
        </w:rPr>
        <w:t xml:space="preserve">，涨幅 </w:t>
      </w:r>
      <w:r>
        <w:rPr>
          <w:rFonts w:ascii="Microsoft YaHei" w:hAnsi="Microsoft YaHei"/>
          <w:b/>
          <w:color w:val="1A1A1A"/>
        </w:rPr>
        <w:t>+3.15%</w:t>
      </w:r>
      <w:r>
        <w:rPr>
          <w:rFonts w:ascii="Microsoft YaHei" w:hAnsi="Microsoft YaHei"/>
        </w:rPr>
        <w:t xml:space="preserve">，明显跑赢大盘（上证/深证涨幅区间）。开盘价 </w:t>
      </w:r>
      <w:r>
        <w:rPr>
          <w:rFonts w:ascii="Microsoft YaHei" w:hAnsi="Microsoft YaHei"/>
          <w:b/>
          <w:color w:val="1A1A1A"/>
        </w:rPr>
        <w:t>17.80 元</w:t>
      </w:r>
      <w:r>
        <w:rPr>
          <w:rFonts w:ascii="Microsoft YaHei" w:hAnsi="Microsoft YaHei"/>
        </w:rPr>
        <w:t xml:space="preserve">，开盘后快速拉升，最高触及 </w:t>
      </w:r>
      <w:r>
        <w:rPr>
          <w:rFonts w:ascii="Microsoft YaHei" w:hAnsi="Microsoft YaHei"/>
          <w:b/>
          <w:color w:val="1A1A1A"/>
        </w:rPr>
        <w:t>18.58 元</w:t>
      </w:r>
      <w:r>
        <w:rPr>
          <w:rFonts w:ascii="Microsoft YaHei" w:hAnsi="Microsoft YaHei"/>
        </w:rPr>
        <w:t xml:space="preserve">，盘中振幅达 </w:t>
      </w:r>
      <w:r>
        <w:rPr>
          <w:rFonts w:ascii="Microsoft YaHei" w:hAnsi="Microsoft YaHei"/>
          <w:b/>
          <w:color w:val="1A1A1A"/>
        </w:rPr>
        <w:t>4.84%</w:t>
      </w:r>
      <w:r>
        <w:rPr>
          <w:rFonts w:ascii="Microsoft YaHei" w:hAnsi="Microsoft YaHei"/>
        </w:rPr>
        <w:t>，显示多空博弈激烈但多方占优。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放量上行</w:t>
      </w:r>
      <w:r>
        <w:rPr>
          <w:rFonts w:ascii="Microsoft YaHei" w:hAnsi="Microsoft YaHei"/>
        </w:rPr>
        <w:t xml:space="preserve">：半日换手率 </w:t>
      </w:r>
      <w:r>
        <w:rPr>
          <w:rFonts w:ascii="Microsoft YaHei" w:hAnsi="Microsoft YaHei"/>
          <w:b/>
          <w:color w:val="1A1A1A"/>
        </w:rPr>
        <w:t>2.28%</w:t>
      </w:r>
      <w:r>
        <w:rPr>
          <w:rFonts w:ascii="Microsoft YaHei" w:hAnsi="Microsoft YaHei"/>
        </w:rPr>
        <w:t xml:space="preserve">，已超昨日全日换手率 </w:t>
      </w:r>
      <w:r>
        <w:rPr>
          <w:rFonts w:ascii="Microsoft YaHei" w:hAnsi="Microsoft YaHei"/>
          <w:b/>
          <w:color w:val="1A1A1A"/>
        </w:rPr>
        <w:t>1.98%</w:t>
      </w:r>
      <w:r>
        <w:rPr>
          <w:rFonts w:ascii="Microsoft YaHei" w:hAnsi="Microsoft YaHei"/>
        </w:rPr>
        <w:t xml:space="preserve">，量比 </w:t>
      </w:r>
      <w:r>
        <w:rPr>
          <w:rFonts w:ascii="Microsoft YaHei" w:hAnsi="Microsoft YaHei"/>
          <w:b/>
          <w:color w:val="1A1A1A"/>
        </w:rPr>
        <w:t>1.48</w:t>
      </w:r>
      <w:r>
        <w:rPr>
          <w:rFonts w:ascii="Microsoft YaHei" w:hAnsi="Microsoft YaHei"/>
        </w:rPr>
        <w:t xml:space="preserve"> 表明当前成交额显著高于近期均值，资金参与度明显提升。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外盘强于内盘</w:t>
      </w:r>
      <w:r>
        <w:rPr>
          <w:rFonts w:ascii="Microsoft YaHei" w:hAnsi="Microsoft YaHei"/>
        </w:rPr>
        <w:t xml:space="preserve">：外盘 </w:t>
      </w:r>
      <w:r>
        <w:rPr>
          <w:rFonts w:ascii="Microsoft YaHei" w:hAnsi="Microsoft YaHei"/>
          <w:b/>
          <w:color w:val="1A1A1A"/>
        </w:rPr>
        <w:t>108,208 手</w:t>
      </w:r>
      <w:r>
        <w:rPr>
          <w:rFonts w:ascii="Microsoft YaHei" w:hAnsi="Microsoft YaHei"/>
        </w:rPr>
        <w:t xml:space="preserve"> vs 内盘 </w:t>
      </w:r>
      <w:r>
        <w:rPr>
          <w:rFonts w:ascii="Microsoft YaHei" w:hAnsi="Microsoft YaHei"/>
          <w:b/>
          <w:color w:val="1A1A1A"/>
        </w:rPr>
        <w:t>97,998 手</w:t>
      </w:r>
      <w:r>
        <w:rPr>
          <w:rFonts w:ascii="Microsoft YaHei" w:hAnsi="Microsoft YaHei"/>
        </w:rPr>
        <w:t xml:space="preserve">，外盘/内盘比值 </w:t>
      </w:r>
      <w:r>
        <w:rPr>
          <w:rFonts w:ascii="Microsoft YaHei" w:hAnsi="Microsoft YaHei"/>
          <w:b/>
          <w:color w:val="1A1A1A"/>
        </w:rPr>
        <w:t>1.10</w:t>
      </w:r>
      <w:r>
        <w:rPr>
          <w:rFonts w:ascii="Microsoft YaHei" w:hAnsi="Microsoft YaHei"/>
        </w:rPr>
        <w:t>，主动买入力量强于主动卖出力量，佐证买方主导格局。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估值水平</w:t>
      </w:r>
      <w:r>
        <w:rPr>
          <w:rFonts w:ascii="Microsoft YaHei" w:hAnsi="Microsoft YaHei"/>
        </w:rPr>
        <w:t xml:space="preserve">：动态市盈率 </w:t>
      </w:r>
      <w:r>
        <w:rPr>
          <w:rFonts w:ascii="Microsoft YaHei" w:hAnsi="Microsoft YaHei"/>
          <w:b/>
          <w:color w:val="1A1A1A"/>
        </w:rPr>
        <w:t>35.7 倍</w:t>
      </w:r>
      <w:r>
        <w:rPr>
          <w:rFonts w:ascii="Microsoft YaHei" w:hAnsi="Microsoft YaHei"/>
        </w:rPr>
        <w:t xml:space="preserve">，相较于历史估值区间处于中等偏上水平；市净率 </w:t>
      </w:r>
      <w:r>
        <w:rPr>
          <w:rFonts w:ascii="Microsoft YaHei" w:hAnsi="Microsoft YaHei"/>
          <w:b/>
          <w:color w:val="1A1A1A"/>
        </w:rPr>
        <w:t>1.26 倍</w:t>
      </w:r>
      <w:r>
        <w:rPr>
          <w:rFonts w:ascii="Microsoft YaHei" w:hAnsi="Microsoft YaHei"/>
        </w:rPr>
        <w:t>，仍处于相对合理区间。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今日资金流向（逐分钟统计）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类别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 3,151.88 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资金流入分钟数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121 分钟</w:t>
            </w:r>
            <w:r>
              <w:rPr>
                <w:rFonts w:ascii="Microsoft YaHei" w:hAnsi="Microsoft YaHei"/>
                <w:sz w:val="18"/>
              </w:rPr>
              <w:t>（占58.5%）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资金流出分钟数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85 分钟（占41.1%）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548.8 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466.3 万元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资金面解读</w:t>
      </w:r>
      <w:r>
        <w:rPr>
          <w:rFonts w:ascii="Microsoft YaHei" w:hAnsi="Microsoft YaHei"/>
        </w:rPr>
        <w:t xml:space="preserve">：半日净流入超 </w:t>
      </w:r>
      <w:r>
        <w:rPr>
          <w:rFonts w:ascii="Microsoft YaHei" w:hAnsi="Microsoft YaHei"/>
          <w:b/>
          <w:color w:val="1A1A1A"/>
        </w:rPr>
        <w:t>3,150 万元</w:t>
      </w:r>
      <w:r>
        <w:rPr>
          <w:rFonts w:ascii="Microsoft YaHei" w:hAnsi="Microsoft YaHei"/>
        </w:rPr>
        <w:t>，资金流入时长占据主导地位（58.5%），且最大单分钟流入（548.8万）大于最大流出（466.3万），资金净买入意愿坚决。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昨日资金细分（元）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买入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卖出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+10,255,087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38,926,498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28,671,411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+15,739,779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89,224,840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73,485,061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+5,649,398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30,348,876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24,699,478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+31,644,264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资金结构分析</w:t>
      </w:r>
      <w:r>
        <w:rPr>
          <w:rFonts w:ascii="Microsoft YaHei" w:hAnsi="Microsoft YaHei"/>
        </w:rPr>
        <w:t xml:space="preserve">：昨日全尺寸资金均为净流入，其中 </w:t>
      </w:r>
      <w:r>
        <w:rPr>
          <w:rFonts w:ascii="Microsoft YaHei" w:hAnsi="Microsoft YaHei"/>
          <w:b/>
          <w:color w:val="1A1A1A"/>
        </w:rPr>
        <w:t>中单净流入最大（1,574万）</w:t>
      </w:r>
      <w:r>
        <w:rPr>
          <w:rFonts w:ascii="Microsoft YaHei" w:hAnsi="Microsoft YaHei"/>
        </w:rPr>
        <w:t xml:space="preserve">，大单净流入 </w:t>
      </w:r>
      <w:r>
        <w:rPr>
          <w:rFonts w:ascii="Microsoft YaHei" w:hAnsi="Microsoft YaHei"/>
          <w:b/>
          <w:color w:val="1A1A1A"/>
        </w:rPr>
        <w:t>1,025 万</w:t>
      </w:r>
      <w:r>
        <w:rPr>
          <w:rFonts w:ascii="Microsoft YaHei" w:hAnsi="Microsoft YaHei"/>
        </w:rPr>
        <w:t>，呈现</w:t>
      </w:r>
      <w:r>
        <w:rPr>
          <w:rFonts w:ascii="Microsoft YaHei" w:hAnsi="Microsoft YaHei"/>
          <w:b/>
          <w:color w:val="1A1A1A"/>
        </w:rPr>
        <w:t>全面流入</w:t>
      </w:r>
      <w:r>
        <w:rPr>
          <w:rFonts w:ascii="Microsoft YaHei" w:hAnsi="Microsoft YaHei"/>
        </w:rPr>
        <w:t xml:space="preserve">格局。大单+中单合计净流入 </w:t>
      </w:r>
      <w:r>
        <w:rPr>
          <w:rFonts w:ascii="Microsoft YaHei" w:hAnsi="Microsoft YaHei"/>
          <w:b/>
          <w:color w:val="1A1A1A"/>
        </w:rPr>
        <w:t>2,600 万</w:t>
      </w:r>
      <w:r>
        <w:rPr>
          <w:rFonts w:ascii="Microsoft YaHei" w:hAnsi="Microsoft YaHei"/>
        </w:rPr>
        <w:t>，显示机构与游资均有参与，并非单边散户推动。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融资融券（昨日日终）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较前日变动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融资余额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2.33 亿元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+0.74%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融券余额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0.05 亿元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+0.04%</w:t>
            </w:r>
          </w:p>
        </w:tc>
      </w:tr>
    </w:tbl>
    <w:p/>
    <w:p>
      <w:r>
        <w:rPr>
          <w:rFonts w:ascii="Microsoft YaHei" w:hAnsi="Microsoft YaHei"/>
        </w:rPr>
        <w:t>融资余额小幅增加，杠杆资金情绪偏积极，但增量有限，尚未出现大规模加杠杆迹象。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均线与布林带分析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技术指标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位置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当前价偏离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MA5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~18.33 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贴近（+0.0%）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MA10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~18.04 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上方（+1.6%）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MA20（布林中轨）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~18.13 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上方（+1.1%）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18.81 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下方（-2.6%）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17.45 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上方（+5.0%）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技术面解读</w:t>
      </w:r>
      <w:r>
        <w:rPr>
          <w:rFonts w:ascii="Microsoft YaHei" w:hAnsi="Microsoft YaHei"/>
        </w:rPr>
        <w:t>：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短期均线支撑有效</w:t>
      </w:r>
      <w:r>
        <w:rPr>
          <w:rFonts w:ascii="Microsoft YaHei" w:hAnsi="Microsoft YaHei"/>
        </w:rPr>
        <w:t xml:space="preserve">：当前价 </w:t>
      </w:r>
      <w:r>
        <w:rPr>
          <w:rFonts w:ascii="Microsoft YaHei" w:hAnsi="Microsoft YaHei"/>
          <w:b/>
          <w:color w:val="1A1A1A"/>
        </w:rPr>
        <w:t>18.33 元</w:t>
      </w:r>
      <w:r>
        <w:rPr>
          <w:rFonts w:ascii="Microsoft YaHei" w:hAnsi="Microsoft YaHei"/>
        </w:rPr>
        <w:t xml:space="preserve">正好与 </w:t>
      </w:r>
      <w:r>
        <w:rPr>
          <w:rFonts w:ascii="Microsoft YaHei" w:hAnsi="Microsoft YaHei"/>
          <w:b/>
          <w:color w:val="1A1A1A"/>
        </w:rPr>
        <w:t>MA5（18.33 元）</w:t>
      </w:r>
      <w:r>
        <w:rPr>
          <w:rFonts w:ascii="Microsoft YaHei" w:hAnsi="Microsoft YaHei"/>
        </w:rPr>
        <w:t xml:space="preserve"> 重合，且站稳 </w:t>
      </w:r>
      <w:r>
        <w:rPr>
          <w:rFonts w:ascii="Microsoft YaHei" w:hAnsi="Microsoft YaHei"/>
          <w:b/>
          <w:color w:val="1A1A1A"/>
        </w:rPr>
        <w:t>MA10（18.04 元）</w:t>
      </w:r>
      <w:r>
        <w:rPr>
          <w:rFonts w:ascii="Microsoft YaHei" w:hAnsi="Microsoft YaHei"/>
        </w:rPr>
        <w:t xml:space="preserve"> 和 </w:t>
      </w:r>
      <w:r>
        <w:rPr>
          <w:rFonts w:ascii="Microsoft YaHei" w:hAnsi="Microsoft YaHei"/>
          <w:b/>
          <w:color w:val="1A1A1A"/>
        </w:rPr>
        <w:t>MA20（18.13 元）</w:t>
      </w:r>
      <w:r>
        <w:rPr>
          <w:rFonts w:ascii="Microsoft YaHei" w:hAnsi="Microsoft YaHei"/>
        </w:rPr>
        <w:t xml:space="preserve"> 上方，短期均线系统呈现多头排列雏形。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布林带位置偏强</w:t>
      </w:r>
      <w:r>
        <w:rPr>
          <w:rFonts w:ascii="Microsoft YaHei" w:hAnsi="Microsoft YaHei"/>
        </w:rPr>
        <w:t xml:space="preserve">：股价位于布林带中轨（18.13 元）之上，距离上轨（18.81 元）仍有约 </w:t>
      </w:r>
      <w:r>
        <w:rPr>
          <w:rFonts w:ascii="Microsoft YaHei" w:hAnsi="Microsoft YaHei"/>
          <w:b/>
          <w:color w:val="1A1A1A"/>
        </w:rPr>
        <w:t>2.6%</w:t>
      </w:r>
      <w:r>
        <w:rPr>
          <w:rFonts w:ascii="Microsoft YaHei" w:hAnsi="Microsoft YaHei"/>
        </w:rPr>
        <w:t xml:space="preserve"> 的空间，上行空间尚未封闭，但若继续上攻至 18.80 元附近可能面临上轨压制。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盘中高点已接近压力区</w:t>
      </w:r>
      <w:r>
        <w:rPr>
          <w:rFonts w:ascii="Microsoft YaHei" w:hAnsi="Microsoft YaHei"/>
        </w:rPr>
        <w:t xml:space="preserve">：今日最高 </w:t>
      </w:r>
      <w:r>
        <w:rPr>
          <w:rFonts w:ascii="Microsoft YaHei" w:hAnsi="Microsoft YaHei"/>
          <w:b/>
          <w:color w:val="1A1A1A"/>
        </w:rPr>
        <w:t>18.58 元</w:t>
      </w:r>
      <w:r>
        <w:rPr>
          <w:rFonts w:ascii="Microsoft YaHei" w:hAnsi="Microsoft YaHei"/>
        </w:rPr>
        <w:t>，已逼近布林带上轨（18.81 元），午后需关注该区间的突破情况。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所属板块排名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板块名称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板块涨跌幅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该股排名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酒店、餐馆与休闲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-1.28%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481/1158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2/38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酒店、度假村与豪华游轮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-1.12%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449/1158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2/28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消费者服务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-1.46%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521/1158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3/52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上海国企改革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-0.20%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249/1158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3/54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旅游概念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-1.47%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524/1158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7/150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中证500成份股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+0.27%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190/1158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120/550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板块关联分析</w:t>
      </w:r>
      <w:r>
        <w:rPr>
          <w:rFonts w:ascii="Microsoft YaHei" w:hAnsi="Microsoft YaHei"/>
        </w:rPr>
        <w:t>：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逆板块走强</w:t>
      </w:r>
      <w:r>
        <w:rPr>
          <w:rFonts w:ascii="Microsoft YaHei" w:hAnsi="Microsoft YaHei"/>
        </w:rPr>
        <w:t xml:space="preserve">：尽管 </w:t>
      </w:r>
      <w:r>
        <w:rPr>
          <w:rFonts w:ascii="Microsoft YaHei" w:hAnsi="Microsoft YaHei"/>
          <w:b/>
          <w:color w:val="1A1A1A"/>
        </w:rPr>
        <w:t>酒店、餐馆与休闲</w:t>
      </w:r>
      <w:r>
        <w:rPr>
          <w:rFonts w:ascii="Microsoft YaHei" w:hAnsi="Microsoft YaHei"/>
        </w:rPr>
        <w:t xml:space="preserve"> 板块整体下跌 </w:t>
      </w:r>
      <w:r>
        <w:rPr>
          <w:rFonts w:ascii="Microsoft YaHei" w:hAnsi="Microsoft YaHei"/>
          <w:b/>
          <w:color w:val="1A1A1A"/>
        </w:rPr>
        <w:t>-1.28%</w:t>
      </w:r>
      <w:r>
        <w:rPr>
          <w:rFonts w:ascii="Microsoft YaHei" w:hAnsi="Microsoft YaHei"/>
        </w:rPr>
        <w:t xml:space="preserve">，但锦江酒店逆势大涨 </w:t>
      </w:r>
      <w:r>
        <w:rPr>
          <w:rFonts w:ascii="Microsoft YaHei" w:hAnsi="Microsoft YaHei"/>
          <w:b/>
          <w:color w:val="1A1A1A"/>
        </w:rPr>
        <w:t>+3.15%</w:t>
      </w:r>
      <w:r>
        <w:rPr>
          <w:rFonts w:ascii="Microsoft YaHei" w:hAnsi="Microsoft YaHei"/>
        </w:rPr>
        <w:t xml:space="preserve">，位列板块第 </w:t>
      </w:r>
      <w:r>
        <w:rPr>
          <w:rFonts w:ascii="Microsoft YaHei" w:hAnsi="Microsoft YaHei"/>
          <w:b/>
          <w:color w:val="1A1A1A"/>
        </w:rPr>
        <w:t>2/38</w:t>
      </w:r>
      <w:r>
        <w:rPr>
          <w:rFonts w:ascii="Microsoft YaHei" w:hAnsi="Microsoft YaHei"/>
        </w:rPr>
        <w:t xml:space="preserve"> 位，展现出极强的</w:t>
      </w:r>
      <w:r>
        <w:rPr>
          <w:rFonts w:ascii="Microsoft YaHei" w:hAnsi="Microsoft YaHei"/>
          <w:b/>
          <w:color w:val="1A1A1A"/>
        </w:rPr>
        <w:t>个股α属性</w:t>
      </w:r>
      <w:r>
        <w:rPr>
          <w:rFonts w:ascii="Microsoft YaHei" w:hAnsi="Microsoft YaHei"/>
        </w:rPr>
        <w:t>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龙头效应显现</w:t>
      </w:r>
      <w:r>
        <w:rPr>
          <w:rFonts w:ascii="Microsoft YaHei" w:hAnsi="Microsoft YaHei"/>
        </w:rPr>
        <w:t xml:space="preserve">：在 </w:t>
      </w:r>
      <w:r>
        <w:rPr>
          <w:rFonts w:ascii="Microsoft YaHei" w:hAnsi="Microsoft YaHei"/>
          <w:b/>
          <w:color w:val="1A1A1A"/>
        </w:rPr>
        <w:t>酒店、度假村与豪华游轮</w:t>
      </w:r>
      <w:r>
        <w:rPr>
          <w:rFonts w:ascii="Microsoft YaHei" w:hAnsi="Microsoft YaHei"/>
        </w:rPr>
        <w:t xml:space="preserve"> 板块中，锦江酒店仅次于中国中免（+3.35%），领先首旅酒店（+2.58%），</w:t>
      </w:r>
      <w:r>
        <w:rPr>
          <w:rFonts w:ascii="Microsoft YaHei" w:hAnsi="Microsoft YaHei"/>
          <w:b/>
          <w:color w:val="1A1A1A"/>
        </w:rPr>
        <w:t>行业龙头地位凸显</w:t>
      </w:r>
      <w:r>
        <w:rPr>
          <w:rFonts w:ascii="Microsoft YaHei" w:hAnsi="Microsoft YaHei"/>
        </w:rPr>
        <w:t>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上海国企改革概念加分</w:t>
      </w:r>
      <w:r>
        <w:rPr>
          <w:rFonts w:ascii="Microsoft YaHei" w:hAnsi="Microsoft YaHei"/>
        </w:rPr>
        <w:t xml:space="preserve">：板块内排名 </w:t>
      </w:r>
      <w:r>
        <w:rPr>
          <w:rFonts w:ascii="Microsoft YaHei" w:hAnsi="Microsoft YaHei"/>
          <w:b/>
          <w:color w:val="1A1A1A"/>
        </w:rPr>
        <w:t>3/54</w:t>
      </w:r>
      <w:r>
        <w:rPr>
          <w:rFonts w:ascii="Microsoft YaHei" w:hAnsi="Microsoft YaHei"/>
        </w:rPr>
        <w:t>，叠加上海本地国企改革预期，为估值提供额外支撑。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中国中免（+3.35%）</w:t>
      </w:r>
      <w:r>
        <w:rPr>
          <w:rFonts w:ascii="Microsoft YaHei" w:hAnsi="Microsoft YaHei"/>
        </w:rPr>
        <w:t>、</w:t>
      </w:r>
      <w:r>
        <w:rPr>
          <w:rFonts w:ascii="Microsoft YaHei" w:hAnsi="Microsoft YaHei"/>
          <w:b/>
          <w:color w:val="1A1A1A"/>
        </w:rPr>
        <w:t>首旅酒店（+2.58%）</w:t>
      </w:r>
      <w:r>
        <w:rPr>
          <w:rFonts w:ascii="Microsoft YaHei" w:hAnsi="Microsoft YaHei"/>
        </w:rPr>
        <w:t xml:space="preserve"> 等消费服务业龙头同步走强，板块联动性较强，反映大消费板块整体回暖预期。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r>
        <w:rPr>
          <w:rFonts w:ascii="Microsoft YaHei" w:hAnsi="Microsoft YaHei"/>
        </w:rPr>
        <w:t>&gt; 今日午间未检索到直接关联的重大新闻或公告。结合板块表现及个股走势，推测今日上涨可能受以下因素驱动：</w:t>
      </w:r>
    </w:p>
    <w:p>
      <w:r>
        <w:rPr>
          <w:rFonts w:ascii="Microsoft YaHei" w:hAnsi="Microsoft YaHei"/>
        </w:rPr>
        <w:t xml:space="preserve">&gt; - </w:t>
      </w:r>
      <w:r>
        <w:rPr>
          <w:rFonts w:ascii="Microsoft YaHei" w:hAnsi="Microsoft YaHei"/>
          <w:b/>
          <w:color w:val="1A1A1A"/>
        </w:rPr>
        <w:t>消费复苏预期升温</w:t>
      </w:r>
      <w:r>
        <w:rPr>
          <w:rFonts w:ascii="Microsoft YaHei" w:hAnsi="Microsoft YaHei"/>
        </w:rPr>
        <w:t>：旅游概念、消费者服务板块内多只个股表现活跃，市场对假期消费及出行需求回暖抱有期待；</w:t>
      </w:r>
    </w:p>
    <w:p>
      <w:r>
        <w:rPr>
          <w:rFonts w:ascii="Microsoft YaHei" w:hAnsi="Microsoft YaHei"/>
        </w:rPr>
        <w:t xml:space="preserve">&gt; - </w:t>
      </w:r>
      <w:r>
        <w:rPr>
          <w:rFonts w:ascii="Microsoft YaHei" w:hAnsi="Microsoft YaHei"/>
          <w:b/>
          <w:color w:val="1A1A1A"/>
        </w:rPr>
        <w:t>国企改革概念催化</w:t>
      </w:r>
      <w:r>
        <w:rPr>
          <w:rFonts w:ascii="Microsoft YaHei" w:hAnsi="Microsoft YaHei"/>
        </w:rPr>
        <w:t>：上海国企改革板块整体表现稳定，锦江酒店作为上海国资旗下核心酒店资产平台，持续受益于改革预期。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主力观点总结</w:t>
      </w:r>
    </w:p>
    <w:p>
      <w:r>
        <w:rPr>
          <w:rFonts w:ascii="Microsoft YaHei" w:hAnsi="Microsoft YaHei"/>
          <w:b/>
          <w:color w:val="1A1A1A"/>
        </w:rPr>
        <w:t>短期强势，量价配合良好</w:t>
      </w:r>
      <w:r>
        <w:rPr>
          <w:rFonts w:ascii="Microsoft YaHei" w:hAnsi="Microsoft YaHei"/>
        </w:rPr>
        <w:t>：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量能确认突破</w:t>
      </w:r>
      <w:r>
        <w:rPr>
          <w:rFonts w:ascii="Microsoft YaHei" w:hAnsi="Microsoft YaHei"/>
        </w:rPr>
        <w:t xml:space="preserve">：半日换手率 </w:t>
      </w:r>
      <w:r>
        <w:rPr>
          <w:rFonts w:ascii="Microsoft YaHei" w:hAnsi="Microsoft YaHei"/>
          <w:b/>
          <w:color w:val="1A1A1A"/>
        </w:rPr>
        <w:t>2.28%</w:t>
      </w:r>
      <w:r>
        <w:rPr>
          <w:rFonts w:ascii="Microsoft YaHei" w:hAnsi="Microsoft YaHei"/>
        </w:rPr>
        <w:t xml:space="preserve"> 远超昨日全日水平，量比 </w:t>
      </w:r>
      <w:r>
        <w:rPr>
          <w:rFonts w:ascii="Microsoft YaHei" w:hAnsi="Microsoft YaHei"/>
          <w:b/>
          <w:color w:val="1A1A1A"/>
        </w:rPr>
        <w:t>1.48</w:t>
      </w:r>
      <w:r>
        <w:rPr>
          <w:rFonts w:ascii="Microsoft YaHei" w:hAnsi="Microsoft YaHei"/>
        </w:rPr>
        <w:t xml:space="preserve">，配合 </w:t>
      </w:r>
      <w:r>
        <w:rPr>
          <w:rFonts w:ascii="Microsoft YaHei" w:hAnsi="Microsoft YaHei"/>
          <w:b/>
          <w:color w:val="1A1A1A"/>
        </w:rPr>
        <w:t>+3.15%</w:t>
      </w:r>
      <w:r>
        <w:rPr>
          <w:rFonts w:ascii="Microsoft YaHei" w:hAnsi="Microsoft YaHei"/>
        </w:rPr>
        <w:t xml:space="preserve"> 的涨幅，属于典型的</w:t>
      </w:r>
      <w:r>
        <w:rPr>
          <w:rFonts w:ascii="Microsoft YaHei" w:hAnsi="Microsoft YaHei"/>
          <w:b/>
          <w:color w:val="1A1A1A"/>
        </w:rPr>
        <w:t>放量上攻</w:t>
      </w:r>
      <w:r>
        <w:rPr>
          <w:rFonts w:ascii="Microsoft YaHei" w:hAnsi="Microsoft YaHei"/>
        </w:rPr>
        <w:t>形态，信号积极。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资金结构健康</w:t>
      </w:r>
      <w:r>
        <w:rPr>
          <w:rFonts w:ascii="Microsoft YaHei" w:hAnsi="Microsoft YaHei"/>
        </w:rPr>
        <w:t xml:space="preserve">：今日半日净流入 </w:t>
      </w:r>
      <w:r>
        <w:rPr>
          <w:rFonts w:ascii="Microsoft YaHei" w:hAnsi="Microsoft YaHei"/>
          <w:b/>
          <w:color w:val="1A1A1A"/>
        </w:rPr>
        <w:t>3,152 万元</w:t>
      </w:r>
      <w:r>
        <w:rPr>
          <w:rFonts w:ascii="Microsoft YaHei" w:hAnsi="Microsoft YaHei"/>
        </w:rPr>
        <w:t>，叠加昨日全尺寸资金（大单、中单、小单）均为净流入，资金从不同层级形成合力，</w:t>
      </w:r>
      <w:r>
        <w:rPr>
          <w:rFonts w:ascii="Microsoft YaHei" w:hAnsi="Microsoft YaHei"/>
          <w:b/>
          <w:color w:val="1A1A1A"/>
        </w:rPr>
        <w:t>非单一力量推动</w:t>
      </w:r>
      <w:r>
        <w:rPr>
          <w:rFonts w:ascii="Microsoft YaHei" w:hAnsi="Microsoft YaHei"/>
        </w:rPr>
        <w:t>，持续性相对可靠。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技术形态偏多</w:t>
      </w:r>
      <w:r>
        <w:rPr>
          <w:rFonts w:ascii="Microsoft YaHei" w:hAnsi="Microsoft YaHei"/>
        </w:rPr>
        <w:t>：股价站上 MA5/MA10/MA20 全部短期均线，布林带中轨支撑有效，上行通道完好，短期趋势偏多。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板块内领涨地位</w:t>
      </w:r>
      <w:r>
        <w:rPr>
          <w:rFonts w:ascii="Microsoft YaHei" w:hAnsi="Microsoft YaHei"/>
        </w:rPr>
        <w:t>：在所属酒店板块整体下跌的背景下逆势大涨，说明个股存在独立上涨逻辑，</w:t>
      </w:r>
      <w:r>
        <w:rPr>
          <w:rFonts w:ascii="Microsoft YaHei" w:hAnsi="Microsoft YaHei"/>
          <w:b/>
          <w:color w:val="1A1A1A"/>
        </w:rPr>
        <w:t>α属性强于β属性</w:t>
      </w:r>
      <w:r>
        <w:rPr>
          <w:rFonts w:ascii="Microsoft YaHei" w:hAnsi="Microsoft YaHei"/>
        </w:rPr>
        <w:t>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风险提示</w:t>
      </w:r>
    </w:p>
    <w:p>
      <w:pPr>
        <w:pStyle w:val="ListBullet"/>
      </w:pPr>
      <w:r>
        <w:rPr>
          <w:rFonts w:ascii="Microsoft YaHei" w:hAnsi="Microsoft YaHei"/>
        </w:rPr>
        <w:t xml:space="preserve">当前价已逼近布林带上轨 </w:t>
      </w:r>
      <w:r>
        <w:rPr>
          <w:rFonts w:ascii="Microsoft YaHei" w:hAnsi="Microsoft YaHei"/>
          <w:b/>
          <w:color w:val="1A1A1A"/>
        </w:rPr>
        <w:t>18.81 元</w:t>
      </w:r>
      <w:r>
        <w:rPr>
          <w:rFonts w:ascii="Microsoft YaHei" w:hAnsi="Microsoft YaHei"/>
        </w:rPr>
        <w:t>，午后若继续上攻至该区域，可能面临技术性压制；</w:t>
      </w:r>
    </w:p>
    <w:p>
      <w:pPr>
        <w:pStyle w:val="ListBullet"/>
      </w:pPr>
      <w:r>
        <w:rPr>
          <w:rFonts w:ascii="Microsoft YaHei" w:hAnsi="Microsoft YaHei"/>
        </w:rPr>
        <w:t xml:space="preserve">动态市盈率 </w:t>
      </w:r>
      <w:r>
        <w:rPr>
          <w:rFonts w:ascii="Microsoft YaHei" w:hAnsi="Microsoft YaHei"/>
          <w:b/>
          <w:color w:val="1A1A1A"/>
        </w:rPr>
        <w:t>35.7 倍</w:t>
      </w:r>
      <w:r>
        <w:rPr>
          <w:rFonts w:ascii="Microsoft YaHei" w:hAnsi="Microsoft YaHei"/>
        </w:rPr>
        <w:t xml:space="preserve"> 相对历史中枢有所抬升，估值修复空间或逐步收窄；</w:t>
      </w:r>
    </w:p>
    <w:p>
      <w:pPr>
        <w:pStyle w:val="ListBullet"/>
      </w:pPr>
      <w:r>
        <w:rPr>
          <w:rFonts w:ascii="Microsoft YaHei" w:hAnsi="Microsoft YaHei"/>
        </w:rPr>
        <w:t>未能检索到具体事件驱动（如公告、政策等），需关注午后是否有消息面催化落地。</w:t>
      </w:r>
    </w:p>
    <w:p>
      <w:pPr>
        <w:spacing w:before="240" w:after="240"/>
        <w:pBdr>
          <w:bottom w:val="single" w:sz="4" w:space="1" w:color="D0D7DE"/>
        </w:pBdr>
      </w:pPr>
    </w:p>
    <w:p>
      <w:r>
        <w:rPr>
          <w:rFonts w:ascii="Microsoft YaHei" w:hAnsi="Microsoft YaHei"/>
          <w:b/>
          <w:color w:val="1A1A1A"/>
        </w:rPr>
        <w:t>免责声明</w:t>
      </w:r>
      <w:r>
        <w:rPr>
          <w:rFonts w:ascii="Microsoft YaHei" w:hAnsi="Microsoft YaHei"/>
        </w:rPr>
        <w:t>：以上分析基于公开数据，仅供参考，不构成投资建议。股市有风险，投资需谨慎。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锦江酒店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