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隆基绿能（601012.SH）午间分析报告</w:t>
      </w:r>
    </w:p>
    <w:p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今日全市场情绪回暖，上涨家数 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 xml:space="preserve">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+1516亿</w:t>
      </w:r>
      <w:r>
        <w:rPr>
          <w:rFonts w:ascii="Microsoft YaHei" w:hAnsi="Microsoft YaHei"/>
        </w:rPr>
        <w:t xml:space="preserve">。沪指在权重股带动下表现强势，但创业板指及科创50继续承压，芯片半导体、算力硬件板块领跌。在此分化格局下，隆基绿能逆势 </w:t>
      </w:r>
      <w:r>
        <w:rPr>
          <w:rFonts w:ascii="Microsoft YaHei" w:hAnsi="Microsoft YaHei"/>
          <w:b/>
          <w:color w:val="1A1A1A"/>
        </w:rPr>
        <w:t>收涨2.13%</w:t>
      </w:r>
      <w:r>
        <w:rPr>
          <w:rFonts w:ascii="Microsoft YaHei" w:hAnsi="Microsoft YaHei"/>
        </w:rPr>
        <w:t xml:space="preserve">，报 </w:t>
      </w:r>
      <w:r>
        <w:rPr>
          <w:rFonts w:ascii="Microsoft YaHei" w:hAnsi="Microsoft YaHei"/>
          <w:b/>
          <w:color w:val="1A1A1A"/>
        </w:rPr>
        <w:t>12.0元</w:t>
      </w:r>
      <w:r>
        <w:rPr>
          <w:rFonts w:ascii="Microsoft YaHei" w:hAnsi="Microsoft YaHei"/>
        </w:rPr>
        <w:t>，走出独立行情。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12.0元</w:t>
            </w:r>
            <w:r>
              <w:rPr>
                <w:rFonts w:ascii="Microsoft YaHei" w:hAnsi="Microsoft YaHei"/>
                <w:sz w:val="18"/>
              </w:rPr>
              <w:t>（+2.13%）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11.75 / 12.03 / 11.70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1,231,704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146,238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1.63%</w:t>
            </w:r>
            <w:r>
              <w:rPr>
                <w:rFonts w:ascii="Microsoft YaHei" w:hAnsi="Microsoft YaHei"/>
                <w:sz w:val="18"/>
              </w:rPr>
              <w:t xml:space="preserve">（较上日1.02%放量约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60%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1.16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-11.84（亏损）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1.80</w:t>
            </w:r>
            <w:r>
              <w:rPr>
                <w:rFonts w:ascii="Microsoft YaHei" w:hAnsi="Microsoft YaHei"/>
                <w:sz w:val="18"/>
              </w:rPr>
              <w:t>（较上日1.90略有下降）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909.37亿元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量价分析</w:t>
      </w:r>
      <w:r>
        <w:rPr>
          <w:rFonts w:ascii="Microsoft YaHei" w:hAnsi="Microsoft YaHei"/>
        </w:rPr>
        <w:t xml:space="preserve">：今日以 </w:t>
      </w:r>
      <w:r>
        <w:rPr>
          <w:rFonts w:ascii="Microsoft YaHei" w:hAnsi="Microsoft YaHei"/>
          <w:b/>
          <w:color w:val="1A1A1A"/>
        </w:rPr>
        <w:t>11.75元</w:t>
      </w:r>
      <w:r>
        <w:rPr>
          <w:rFonts w:ascii="Microsoft YaHei" w:hAnsi="Microsoft YaHei"/>
        </w:rPr>
        <w:t xml:space="preserve"> 平开，早盘迅速拉升，盘中最高触及 </w:t>
      </w:r>
      <w:r>
        <w:rPr>
          <w:rFonts w:ascii="Microsoft YaHei" w:hAnsi="Microsoft YaHei"/>
          <w:b/>
          <w:color w:val="1A1A1A"/>
        </w:rPr>
        <w:t>12.03元</w:t>
      </w:r>
      <w:r>
        <w:rPr>
          <w:rFonts w:ascii="Microsoft YaHei" w:hAnsi="Microsoft YaHei"/>
        </w:rPr>
        <w:t xml:space="preserve">，随后高位震荡收于12.0元。振幅 </w:t>
      </w:r>
      <w:r>
        <w:rPr>
          <w:rFonts w:ascii="Microsoft YaHei" w:hAnsi="Microsoft YaHei"/>
          <w:b/>
          <w:color w:val="1A1A1A"/>
        </w:rPr>
        <w:t>2.81%</w:t>
      </w:r>
      <w:r>
        <w:rPr>
          <w:rFonts w:ascii="Microsoft YaHei" w:hAnsi="Microsoft YaHei"/>
        </w:rPr>
        <w:t xml:space="preserve">，外盘 </w:t>
      </w:r>
      <w:r>
        <w:rPr>
          <w:rFonts w:ascii="Microsoft YaHei" w:hAnsi="Microsoft YaHei"/>
          <w:b/>
          <w:color w:val="1A1A1A"/>
        </w:rPr>
        <w:t>698,405手</w:t>
      </w:r>
      <w:r>
        <w:rPr>
          <w:rFonts w:ascii="Microsoft YaHei" w:hAnsi="Microsoft YaHei"/>
        </w:rPr>
        <w:t xml:space="preserve">（占56.7%）显著大于内盘 </w:t>
      </w:r>
      <w:r>
        <w:rPr>
          <w:rFonts w:ascii="Microsoft YaHei" w:hAnsi="Microsoft YaHei"/>
          <w:b/>
          <w:color w:val="1A1A1A"/>
        </w:rPr>
        <w:t>533,299手</w:t>
      </w:r>
      <w:r>
        <w:rPr>
          <w:rFonts w:ascii="Microsoft YaHei" w:hAnsi="Microsoft YaHei"/>
        </w:rPr>
        <w:t xml:space="preserve">（占43.3%），买方力量占优。换手率1.63%较上一交易日1.02%放量 </w:t>
      </w:r>
      <w:r>
        <w:rPr>
          <w:rFonts w:ascii="Microsoft YaHei" w:hAnsi="Microsoft YaHei"/>
          <w:b/>
          <w:color w:val="1A1A1A"/>
        </w:rPr>
        <w:t>60%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>的积极信号。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分钟级资金流向（今日盘中）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1.68亿元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 / 流出分钟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73分钟</w:t>
            </w:r>
            <w:r>
              <w:rPr>
                <w:rFonts w:ascii="Microsoft YaHei" w:hAnsi="Microsoft YaHei"/>
                <w:sz w:val="18"/>
              </w:rPr>
              <w:t xml:space="preserve">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3,165.1万元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1,436.3万元</w:t>
            </w:r>
          </w:p>
        </w:tc>
      </w:tr>
    </w:tbl>
    <w:p/>
    <w:p>
      <w:r>
        <w:rPr>
          <w:rFonts w:ascii="Microsoft YaHei" w:hAnsi="Microsoft YaHei"/>
        </w:rPr>
        <w:t>资金面呈现明显的</w:t>
      </w:r>
      <w:r>
        <w:rPr>
          <w:rFonts w:ascii="Microsoft YaHei" w:hAnsi="Microsoft YaHei"/>
          <w:b/>
          <w:color w:val="1A1A1A"/>
        </w:rPr>
        <w:t>主动性买入</w:t>
      </w:r>
      <w:r>
        <w:rPr>
          <w:rFonts w:ascii="Microsoft YaHei" w:hAnsi="Microsoft YaHei"/>
        </w:rPr>
        <w:t xml:space="preserve">特征：净流入分钟数（73）远超流出分钟数（47），且最大单分钟流入量（3,165万）是最大流出的 </w:t>
      </w:r>
      <w:r>
        <w:rPr>
          <w:rFonts w:ascii="Microsoft YaHei" w:hAnsi="Microsoft YaHei"/>
          <w:b/>
          <w:color w:val="1A1A1A"/>
        </w:rPr>
        <w:t>2.2倍</w:t>
      </w:r>
      <w:r>
        <w:rPr>
          <w:rFonts w:ascii="Microsoft YaHei" w:hAnsi="Microsoft YaHei"/>
        </w:rPr>
        <w:t>，说明盘中买盘持续且集中。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+1.51亿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主力净买入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+537.6万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小幅净买入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+1,117万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散户净买入</w:t>
            </w:r>
          </w:p>
        </w:tc>
      </w:tr>
    </w:tbl>
    <w:p/>
    <w:p>
      <w:r>
        <w:rPr>
          <w:rFonts w:ascii="Microsoft YaHei" w:hAnsi="Microsoft YaHei"/>
        </w:rPr>
        <w:t xml:space="preserve">上一交易日已呈现 </w:t>
      </w:r>
      <w:r>
        <w:rPr>
          <w:rFonts w:ascii="Microsoft YaHei" w:hAnsi="Microsoft YaHei"/>
          <w:b/>
          <w:color w:val="1A1A1A"/>
        </w:rPr>
        <w:t>全口径净流入</w:t>
      </w:r>
      <w:r>
        <w:rPr>
          <w:rFonts w:ascii="Microsoft YaHei" w:hAnsi="Microsoft YaHei"/>
        </w:rPr>
        <w:t xml:space="preserve">（合计 </w:t>
      </w:r>
      <w:r>
        <w:rPr>
          <w:rFonts w:ascii="Microsoft YaHei" w:hAnsi="Microsoft YaHei"/>
          <w:b/>
          <w:color w:val="1A1A1A"/>
        </w:rPr>
        <w:t>+1.68亿</w:t>
      </w:r>
      <w:r>
        <w:rPr>
          <w:rFonts w:ascii="Microsoft YaHei" w:hAnsi="Microsoft YaHei"/>
        </w:rPr>
        <w:t xml:space="preserve">），大单净买入 </w:t>
      </w:r>
      <w:r>
        <w:rPr>
          <w:rFonts w:ascii="Microsoft YaHei" w:hAnsi="Microsoft YaHei"/>
          <w:b/>
          <w:color w:val="1A1A1A"/>
        </w:rPr>
        <w:t>1.51亿</w:t>
      </w:r>
      <w:r>
        <w:rPr>
          <w:rFonts w:ascii="Microsoft YaHei" w:hAnsi="Microsoft YaHei"/>
        </w:rPr>
        <w:t xml:space="preserve"> 为主力军，今日资金继续加码，</w:t>
      </w:r>
      <w:r>
        <w:rPr>
          <w:rFonts w:ascii="Microsoft YaHei" w:hAnsi="Microsoft YaHei"/>
          <w:b/>
          <w:color w:val="1A1A1A"/>
        </w:rPr>
        <w:t>主力资金的连续性</w:t>
      </w:r>
      <w:r>
        <w:rPr>
          <w:rFonts w:ascii="Microsoft YaHei" w:hAnsi="Microsoft YaHei"/>
        </w:rPr>
        <w:t>值得关注。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48.21亿元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-0.49%</w:t>
            </w:r>
            <w:r>
              <w:rPr>
                <w:rFonts w:ascii="Microsoft YaHei" w:hAnsi="Microsoft YaHei"/>
                <w:sz w:val="18"/>
              </w:rPr>
              <w:t>（小幅偿还）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+10.18%</w:t>
            </w:r>
            <w:r>
              <w:rPr>
                <w:rFonts w:ascii="Microsoft YaHei" w:hAnsi="Microsoft YaHei"/>
                <w:sz w:val="18"/>
              </w:rPr>
              <w:t>（小幅增加）</w:t>
            </w:r>
          </w:p>
        </w:tc>
      </w:tr>
    </w:tbl>
    <w:p/>
    <w:p>
      <w:r>
        <w:rPr>
          <w:rFonts w:ascii="Microsoft YaHei" w:hAnsi="Microsoft YaHei"/>
        </w:rPr>
        <w:t>融资余额小幅下降0.49%，融券余额增加10.18%，说明杠杆资金有所谨慎，但整体体量较小，对股价影响有限。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MA5（12.42）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MA10（12.07）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贴近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MA20/布林中轨（12.26）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 13.22 / 下轨 11.30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中轨下方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布林带宽1.92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12.0元</w:t>
      </w:r>
      <w:r>
        <w:rPr>
          <w:rFonts w:ascii="Microsoft YaHei" w:hAnsi="Microsoft YaHei"/>
        </w:rPr>
        <w:t xml:space="preserve"> 已站上 </w:t>
      </w:r>
      <w:r>
        <w:rPr>
          <w:rFonts w:ascii="Microsoft YaHei" w:hAnsi="Microsoft YaHei"/>
          <w:b/>
          <w:color w:val="1A1A1A"/>
        </w:rPr>
        <w:t>MA10（12.07）</w:t>
      </w:r>
      <w:r>
        <w:rPr>
          <w:rFonts w:ascii="Microsoft YaHei" w:hAnsi="Microsoft YaHei"/>
        </w:rPr>
        <w:t xml:space="preserve"> 附近，短期均线压制正在被突破。</w:t>
      </w:r>
    </w:p>
    <w:p>
      <w:pPr>
        <w:pStyle w:val="ListBullet"/>
      </w:pPr>
      <w:r>
        <w:rPr>
          <w:rFonts w:ascii="Microsoft YaHei" w:hAnsi="Microsoft YaHei"/>
        </w:rPr>
        <w:t xml:space="preserve">距离 </w:t>
      </w:r>
      <w:r>
        <w:rPr>
          <w:rFonts w:ascii="Microsoft YaHei" w:hAnsi="Microsoft YaHei"/>
          <w:b/>
          <w:color w:val="1A1A1A"/>
        </w:rPr>
        <w:t>MA5（12.42）</w:t>
      </w:r>
      <w:r>
        <w:rPr>
          <w:rFonts w:ascii="Microsoft YaHei" w:hAnsi="Microsoft YaHei"/>
        </w:rPr>
        <w:t xml:space="preserve"> 尚有 </w:t>
      </w:r>
      <w:r>
        <w:rPr>
          <w:rFonts w:ascii="Microsoft YaHei" w:hAnsi="Microsoft YaHei"/>
          <w:b/>
          <w:color w:val="1A1A1A"/>
        </w:rPr>
        <w:t>3.4%</w:t>
      </w:r>
      <w:r>
        <w:rPr>
          <w:rFonts w:ascii="Microsoft YaHei" w:hAnsi="Microsoft YaHei"/>
        </w:rPr>
        <w:t xml:space="preserve"> 空间，若午后量能延续，有望挑战该位置。</w:t>
      </w:r>
    </w:p>
    <w:p>
      <w:pPr>
        <w:pStyle w:val="ListBullet"/>
      </w:pPr>
      <w:r>
        <w:rPr>
          <w:rFonts w:ascii="Microsoft YaHei" w:hAnsi="Microsoft YaHei"/>
        </w:rPr>
        <w:t xml:space="preserve">布林带下轨 </w:t>
      </w:r>
      <w:r>
        <w:rPr>
          <w:rFonts w:ascii="Microsoft YaHei" w:hAnsi="Microsoft YaHei"/>
          <w:b/>
          <w:color w:val="1A1A1A"/>
        </w:rPr>
        <w:t>11.30</w:t>
      </w:r>
      <w:r>
        <w:rPr>
          <w:rFonts w:ascii="Microsoft YaHei" w:hAnsi="Microsoft YaHei"/>
        </w:rPr>
        <w:t xml:space="preserve"> 构筑了近期有效支撑，股价自下轨反弹后连续两日上行，开口有所收缩，</w:t>
      </w:r>
      <w:r>
        <w:rPr>
          <w:rFonts w:ascii="Microsoft YaHei" w:hAnsi="Microsoft YaHei"/>
          <w:b/>
          <w:color w:val="1A1A1A"/>
        </w:rPr>
        <w:t>超卖修复迹象明显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从60日维度看，该股曾于 </w:t>
      </w:r>
      <w:r>
        <w:rPr>
          <w:rFonts w:ascii="Microsoft YaHei" w:hAnsi="Microsoft YaHei"/>
          <w:b/>
          <w:color w:val="1A1A1A"/>
        </w:rPr>
        <w:t>09:25</w:t>
      </w:r>
      <w:r>
        <w:rPr>
          <w:rFonts w:ascii="Microsoft YaHei" w:hAnsi="Microsoft YaHei"/>
        </w:rPr>
        <w:t xml:space="preserve"> 以 </w:t>
      </w:r>
      <w:r>
        <w:rPr>
          <w:rFonts w:ascii="Microsoft YaHei" w:hAnsi="Microsoft YaHei"/>
          <w:b/>
          <w:color w:val="1A1A1A"/>
        </w:rPr>
        <w:t>12.86元</w:t>
      </w:r>
      <w:r>
        <w:rPr>
          <w:rFonts w:ascii="Microsoft YaHei" w:hAnsi="Microsoft YaHei"/>
        </w:rPr>
        <w:t xml:space="preserve"> 触发60日大幅上涨异动（+1.42%），显示长线资金对当前位置的认可度。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核心资讯梳理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关联度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影响判断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7/29 早间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美股半导体板块继续大跌，费城半导体指数跌4.49%，存储股跌幅超10%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低（关键词"半导体"）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对隆基直接影响有限，但有助于资金从AI/半导体板块流出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7/28-7/29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英伟达推进超7500亿美元AI交易，市场担忧AI需求人为推高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高低切换逻辑</w:t>
            </w:r>
            <w:r>
              <w:rPr>
                <w:rFonts w:ascii="Microsoft YaHei" w:hAnsi="Microsoft YaHei"/>
                <w:sz w:val="18"/>
              </w:rPr>
              <w:t>：AI板块情绪降温，资金寻找低位标的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7/28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固态电池板块上涨0.40%，国轩高科启动固态电池材料项目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对新能源板块有情绪提振作用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7/29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创业板指盘中跌逾2%，AI、芯片领跌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市场风格偏向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防御+低位</w:t>
            </w:r>
            <w:r>
              <w:rPr>
                <w:rFonts w:ascii="Microsoft YaHei" w:hAnsi="Microsoft YaHei"/>
                <w:sz w:val="18"/>
              </w:rPr>
              <w:t>，隆基作为超跌龙头受益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新闻关联分析</w:t>
      </w:r>
    </w:p>
    <w:p>
      <w:r>
        <w:rPr>
          <w:rFonts w:ascii="Microsoft YaHei" w:hAnsi="Microsoft YaHei"/>
        </w:rPr>
        <w:t>今日与隆基绿能直接相关的公告较少，但以下逻辑值得关注：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资金高低切换</w:t>
      </w:r>
      <w:r>
        <w:rPr>
          <w:rFonts w:ascii="Microsoft YaHei" w:hAnsi="Microsoft YaHei"/>
        </w:rPr>
        <w:t>：美股及A股半导体/AI硬件板块持续回调，费城半导体指数连续创新低。高估值科技股资金获利了结，寻找相对低位的行业龙头。隆基绿能作为光伏龙头，股价自高点大幅回落，</w:t>
      </w:r>
      <w:r>
        <w:rPr>
          <w:rFonts w:ascii="Microsoft YaHei" w:hAnsi="Microsoft YaHei"/>
          <w:b/>
          <w:color w:val="1A1A1A"/>
        </w:rPr>
        <w:t>动态市净率仅1.8倍</w:t>
      </w:r>
      <w:r>
        <w:rPr>
          <w:rFonts w:ascii="Microsoft YaHei" w:hAnsi="Microsoft YaHei"/>
        </w:rPr>
        <w:t>，估值处在历史低位区间，具备吸引力。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光伏产业链独立逻辑</w:t>
      </w:r>
      <w:r>
        <w:rPr>
          <w:rFonts w:ascii="Microsoft YaHei" w:hAnsi="Microsoft YaHei"/>
        </w:rPr>
        <w:t xml:space="preserve">：隆基绿能今日涨幅 </w:t>
      </w:r>
      <w:r>
        <w:rPr>
          <w:rFonts w:ascii="Microsoft YaHei" w:hAnsi="Microsoft YaHei"/>
          <w:b/>
          <w:color w:val="1A1A1A"/>
        </w:rPr>
        <w:t>2.13%</w:t>
      </w:r>
      <w:r>
        <w:rPr>
          <w:rFonts w:ascii="Microsoft YaHei" w:hAnsi="Microsoft YaHei"/>
        </w:rPr>
        <w:t xml:space="preserve">，而半导体板块整体下跌 </w:t>
      </w:r>
      <w:r>
        <w:rPr>
          <w:rFonts w:ascii="Microsoft YaHei" w:hAnsi="Microsoft YaHei"/>
          <w:b/>
          <w:color w:val="1A1A1A"/>
        </w:rPr>
        <w:t>5.27%</w:t>
      </w:r>
      <w:r>
        <w:rPr>
          <w:rFonts w:ascii="Microsoft YaHei" w:hAnsi="Microsoft YaHei"/>
        </w:rPr>
        <w:t xml:space="preserve">，该股在板块内排名 </w:t>
      </w:r>
      <w:r>
        <w:rPr>
          <w:rFonts w:ascii="Microsoft YaHei" w:hAnsi="Microsoft YaHei"/>
          <w:b/>
          <w:color w:val="1A1A1A"/>
        </w:rPr>
        <w:t>21/207</w:t>
      </w:r>
      <w:r>
        <w:rPr>
          <w:rFonts w:ascii="Microsoft YaHei" w:hAnsi="Microsoft YaHei"/>
        </w:rPr>
        <w:t>，表现远超所属行业指数，说明</w:t>
      </w:r>
      <w:r>
        <w:rPr>
          <w:rFonts w:ascii="Microsoft YaHei" w:hAnsi="Microsoft YaHei"/>
          <w:b/>
          <w:color w:val="1A1A1A"/>
        </w:rPr>
        <w:t>个股存在独立上涨逻辑</w:t>
      </w:r>
      <w:r>
        <w:rPr>
          <w:rFonts w:ascii="Microsoft YaHei" w:hAnsi="Microsoft YaHei"/>
        </w:rPr>
        <w:t>，而非板块驱动。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所属重点指数表现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板块指数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隆基排名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板块内表现判断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174/319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跑赢板块平均</w:t>
            </w:r>
            <w:r>
              <w:rPr>
                <w:rFonts w:ascii="Microsoft YaHei" w:hAnsi="Microsoft YaHei"/>
                <w:sz w:val="18"/>
              </w:rPr>
              <w:t>（+2.13% &gt; +1.57%）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跑输上证50均值，但上证50由能源股领涨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21/207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大幅跑赢板块</w:t>
            </w:r>
            <w:r>
              <w:rPr>
                <w:rFonts w:ascii="Microsoft YaHei" w:hAnsi="Microsoft YaHei"/>
                <w:sz w:val="18"/>
              </w:rPr>
              <w:t>（逆势上涨2.13%）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704/3516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表现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隆基绿能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