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鹏辉能源（300438.SZ）午间分析报告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指数与个股严重分化</w:t>
      </w:r>
      <w:r>
        <w:rPr>
          <w:rFonts w:ascii="Microsoft YaHei" w:hAnsi="Microsoft YaHei"/>
        </w:rPr>
        <w:t xml:space="preserve">格局。大盘情绪热度为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，上涨家数达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。但双创指数大幅杀跌：</w:t>
      </w:r>
      <w:r>
        <w:rPr>
          <w:rFonts w:ascii="Microsoft YaHei" w:hAnsi="Microsoft YaHei"/>
          <w:b/>
          <w:color w:val="1A1A1A"/>
        </w:rPr>
        <w:t>创业板指跌近7%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科创50跌超6%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深成指跌超4%</w:t>
      </w:r>
      <w:r>
        <w:rPr>
          <w:rFonts w:ascii="Microsoft YaHei" w:hAnsi="Microsoft YaHei"/>
        </w:rPr>
        <w:t>。算力硬件、半导体芯片、贵金属等科技赛道全线重挫。</w:t>
      </w:r>
    </w:p>
    <w:p>
      <w:r>
        <w:rPr>
          <w:rFonts w:ascii="Microsoft YaHei" w:hAnsi="Microsoft YaHei"/>
        </w:rPr>
        <w:t xml:space="preserve">鹏辉能源所属的 </w:t>
      </w:r>
      <w:r>
        <w:rPr>
          <w:rFonts w:ascii="Microsoft YaHei" w:hAnsi="Microsoft YaHei"/>
          <w:b/>
          <w:color w:val="1A1A1A"/>
        </w:rPr>
        <w:t>电子元件板块（-6.07%）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技术硬件与设备板块（-5.16%）</w:t>
      </w:r>
      <w:r>
        <w:rPr>
          <w:rFonts w:ascii="Microsoft YaHei" w:hAnsi="Microsoft YaHei"/>
        </w:rPr>
        <w:t xml:space="preserve"> 均处于全市场跌幅前列，个股承压显著。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58.00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62.18 / 62.19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62.81 / 56.19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-6.72%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18.26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22.56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5.15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291.94 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 xml:space="preserve">：早盘以 62.19 元小幅高开，短暂冲高至 </w:t>
      </w:r>
      <w:r>
        <w:rPr>
          <w:rFonts w:ascii="Microsoft YaHei" w:hAnsi="Microsoft YaHei"/>
          <w:b/>
          <w:color w:val="1A1A1A"/>
        </w:rPr>
        <w:t>62.81 元</w:t>
      </w:r>
      <w:r>
        <w:rPr>
          <w:rFonts w:ascii="Microsoft YaHei" w:hAnsi="Microsoft YaHei"/>
        </w:rPr>
        <w:t xml:space="preserve">后快速跳水，最低探至 </w:t>
      </w:r>
      <w:r>
        <w:rPr>
          <w:rFonts w:ascii="Microsoft YaHei" w:hAnsi="Microsoft YaHei"/>
          <w:b/>
          <w:color w:val="1A1A1A"/>
        </w:rPr>
        <w:t>56.19 元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10.65%</w:t>
      </w:r>
      <w:r>
        <w:rPr>
          <w:rFonts w:ascii="Microsoft YaHei" w:hAnsi="Microsoft YaHei"/>
        </w:rPr>
        <w:t>，多空博弈激烈。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7.63%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4.68%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1.63 倍</w:t>
      </w:r>
      <w:r>
        <w:rPr>
          <w:rFonts w:ascii="Microsoft YaHei" w:hAnsi="Microsoft YaHei"/>
        </w:rPr>
        <w:t>，呈现明显的放量杀跌态势。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盘中异动</w:t>
      </w:r>
      <w:r>
        <w:rPr>
          <w:rFonts w:ascii="Microsoft YaHei" w:hAnsi="Microsoft YaHei"/>
        </w:rPr>
        <w:t xml:space="preserve">：10:27 出现 </w:t>
      </w:r>
      <w:r>
        <w:rPr>
          <w:rFonts w:ascii="Microsoft YaHei" w:hAnsi="Microsoft YaHei"/>
          <w:b/>
          <w:color w:val="1A1A1A"/>
        </w:rPr>
        <w:t>火箭发射</w:t>
      </w:r>
      <w:r>
        <w:rPr>
          <w:rFonts w:ascii="Microsoft YaHei" w:hAnsi="Microsoft YaHei"/>
        </w:rPr>
        <w:t xml:space="preserve">信号，股价瞬间拉升 </w:t>
      </w:r>
      <w:r>
        <w:rPr>
          <w:rFonts w:ascii="Microsoft YaHei" w:hAnsi="Microsoft YaHei"/>
          <w:b/>
          <w:color w:val="1A1A1A"/>
        </w:rPr>
        <w:t>+2.30%</w:t>
      </w:r>
      <w:r>
        <w:rPr>
          <w:rFonts w:ascii="Microsoft YaHei" w:hAnsi="Microsoft YaHei"/>
        </w:rPr>
        <w:t xml:space="preserve"> 至 62.66 元，随后再度回落，说明盘中存在短线资金尝试抄底，但未能扭转颓势。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6532.59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104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103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1237.4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1067.8 万元</w:t>
            </w:r>
          </w:p>
        </w:tc>
      </w:tr>
    </w:tbl>
    <w:p/>
    <w:p>
      <w:r>
        <w:rPr>
          <w:rFonts w:ascii="Microsoft YaHei" w:hAnsi="Microsoft YaHei"/>
        </w:rPr>
        <w:t xml:space="preserve">&gt; 💡 </w:t>
      </w:r>
      <w:r>
        <w:rPr>
          <w:rFonts w:ascii="Microsoft YaHei" w:hAnsi="Microsoft YaHei"/>
          <w:b/>
          <w:color w:val="1A1A1A"/>
        </w:rPr>
        <w:t>核心矛盾</w:t>
      </w:r>
      <w:r>
        <w:rPr>
          <w:rFonts w:ascii="Microsoft YaHei" w:hAnsi="Microsoft YaHei"/>
        </w:rPr>
        <w:t xml:space="preserve">：股价大跌 </w:t>
      </w:r>
      <w:r>
        <w:rPr>
          <w:rFonts w:ascii="Microsoft YaHei" w:hAnsi="Microsoft YaHei"/>
          <w:b/>
          <w:color w:val="1A1A1A"/>
        </w:rPr>
        <w:t>-6.72%</w:t>
      </w:r>
      <w:r>
        <w:rPr>
          <w:rFonts w:ascii="Microsoft YaHei" w:hAnsi="Microsoft YaHei"/>
        </w:rPr>
        <w:t xml:space="preserve">，但资金流向显示 </w:t>
      </w:r>
      <w:r>
        <w:rPr>
          <w:rFonts w:ascii="Microsoft YaHei" w:hAnsi="Microsoft YaHei"/>
          <w:b/>
          <w:color w:val="1A1A1A"/>
        </w:rPr>
        <w:t>净流入 6532 万元</w:t>
      </w:r>
      <w:r>
        <w:rPr>
          <w:rFonts w:ascii="Microsoft YaHei" w:hAnsi="Microsoft YaHei"/>
        </w:rPr>
        <w:t>。说明盘中存在主力资金在低位承接，多空双方在 56~58 元区间激烈换手，分歧较大。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+2860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+4277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-592 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+6545 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7.92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0.04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+9.49%</w:t>
            </w:r>
          </w:p>
        </w:tc>
      </w:tr>
    </w:tbl>
    <w:p/>
    <w:p>
      <w:r>
        <w:rPr>
          <w:rFonts w:ascii="Microsoft YaHei" w:hAnsi="Microsoft YaHei"/>
        </w:rPr>
        <w:t>融资余额小幅缩减，融券余额有所攀升，市场情绪偏谨慎。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59.90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3.2%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63.11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8.1%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68.83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15.7%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84.39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53.27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均线全面破位</w:t>
      </w:r>
      <w:r>
        <w:rPr>
          <w:rFonts w:ascii="Microsoft YaHei" w:hAnsi="Microsoft YaHei"/>
        </w:rPr>
        <w:t xml:space="preserve">：当前价格 </w:t>
      </w:r>
      <w:r>
        <w:rPr>
          <w:rFonts w:ascii="Microsoft YaHei" w:hAnsi="Microsoft YaHei"/>
          <w:b/>
          <w:color w:val="1A1A1A"/>
        </w:rPr>
        <w:t>58.00 元</w:t>
      </w:r>
      <w:r>
        <w:rPr>
          <w:rFonts w:ascii="Microsoft YaHei" w:hAnsi="Microsoft YaHei"/>
        </w:rPr>
        <w:t>已跌破 MA5、MA10 及 MA20（布林中轨），短期均线系统呈空头排列。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 xml:space="preserve">：股价已跌穿中轨（68.83 元），向下轨（53.27 元）靠拢，距下轨尚有约 </w:t>
      </w:r>
      <w:r>
        <w:rPr>
          <w:rFonts w:ascii="Microsoft YaHei" w:hAnsi="Microsoft YaHei"/>
          <w:b/>
          <w:color w:val="1A1A1A"/>
        </w:rPr>
        <w:t>8.2% 的空间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技术信号</w:t>
      </w:r>
      <w:r>
        <w:rPr>
          <w:rFonts w:ascii="Microsoft YaHei" w:hAnsi="Microsoft YaHei"/>
        </w:rPr>
        <w:t xml:space="preserve">：放量下杀+均线破位，短期技术面偏空；但股价已显著偏离 MA20 达 </w:t>
      </w:r>
      <w:r>
        <w:rPr>
          <w:rFonts w:ascii="Microsoft YaHei" w:hAnsi="Microsoft YaHei"/>
          <w:b/>
          <w:color w:val="1A1A1A"/>
        </w:rPr>
        <w:t>15.7%</w:t>
      </w:r>
      <w:r>
        <w:rPr>
          <w:rFonts w:ascii="Microsoft YaHei" w:hAnsi="Microsoft YaHei"/>
        </w:rPr>
        <w:t>，存在超跌反弹的技术修复需求。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宏观/指数影响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创业板指跌近7%、科创50跌超6%</w:t>
      </w:r>
      <w:r>
        <w:rPr>
          <w:rFonts w:ascii="Microsoft YaHei" w:hAnsi="Microsoft YaHei"/>
        </w:rPr>
        <w:t>：今日双创指数共振大跌，科技成长风格遭集中抛售，鹏辉能源作为创业板标的，系统性风险是其下跌的主要背景。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算力硬件、半导体芯片等方向领跌</w:t>
      </w:r>
      <w:r>
        <w:rPr>
          <w:rFonts w:ascii="Microsoft YaHei" w:hAnsi="Microsoft YaHei"/>
        </w:rPr>
        <w:t>：与鹏辉能源所属的电子元件、技术硬件板块高度重叠，板块联动效应显著。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板块轮动信号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固态电池板块（+1.53%）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锂电池板块（+1.25%）</w:t>
      </w:r>
      <w:r>
        <w:rPr>
          <w:rFonts w:ascii="Microsoft YaHei" w:hAnsi="Microsoft YaHei"/>
        </w:rPr>
        <w:t xml:space="preserve"> 今日逆势上涨，但鹏辉能源仍录得 </w:t>
      </w:r>
      <w:r>
        <w:rPr>
          <w:rFonts w:ascii="Microsoft YaHei" w:hAnsi="Microsoft YaHei"/>
          <w:b/>
          <w:color w:val="1A1A1A"/>
        </w:rPr>
        <w:t>-6.72%</w:t>
      </w:r>
      <w:r>
        <w:rPr>
          <w:rFonts w:ascii="Microsoft YaHei" w:hAnsi="Microsoft YaHei"/>
        </w:rPr>
        <w:t xml:space="preserve"> 的大跌，说明个股走势与所属概念板块出现明显</w:t>
      </w:r>
      <w:r>
        <w:rPr>
          <w:rFonts w:ascii="Microsoft YaHei" w:hAnsi="Microsoft YaHei"/>
          <w:b/>
          <w:color w:val="1A1A1A"/>
        </w:rPr>
        <w:t>背离</w:t>
      </w:r>
      <w:r>
        <w:rPr>
          <w:rFonts w:ascii="Microsoft YaHei" w:hAnsi="Microsoft YaHei"/>
        </w:rPr>
        <w:t>，更多受自身估值结构及技术硬件板块的系统性拖累。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竞价龙头（7月29日）</w:t>
      </w:r>
    </w:p>
    <w:p>
      <w:pPr>
        <w:pStyle w:val="ListBullet"/>
      </w:pPr>
      <w:r>
        <w:rPr>
          <w:rFonts w:ascii="Microsoft YaHei" w:hAnsi="Microsoft YaHei"/>
        </w:rPr>
        <w:t xml:space="preserve">锂电池概念股 </w:t>
      </w:r>
      <w:r>
        <w:rPr>
          <w:rFonts w:ascii="Microsoft YaHei" w:hAnsi="Microsoft YaHei"/>
          <w:b/>
          <w:color w:val="1A1A1A"/>
        </w:rPr>
        <w:t>新亚制程（3板）</w:t>
      </w:r>
      <w:r>
        <w:rPr>
          <w:rFonts w:ascii="Microsoft YaHei" w:hAnsi="Microsoft YaHei"/>
        </w:rPr>
        <w:t xml:space="preserve"> 低开 </w:t>
      </w:r>
      <w:r>
        <w:rPr>
          <w:rFonts w:ascii="Microsoft YaHei" w:hAnsi="Microsoft YaHei"/>
          <w:b/>
          <w:color w:val="1A1A1A"/>
        </w:rPr>
        <w:t>4.55%</w:t>
      </w:r>
      <w:r>
        <w:rPr>
          <w:rFonts w:ascii="Microsoft YaHei" w:hAnsi="Microsoft YaHei"/>
        </w:rPr>
        <w:t>，市场对锂电池细分方向短线情绪降温，对鹏辉能源形成情绪压制。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鹏辉能源所属的主要板块今日表现如下：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个股在该板块排名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电子元件（A股）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1097/1158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129/256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315/557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414/694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石墨烯（概念）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-4.23%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53/74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720/998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充电桩（概念）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299/373</w:t>
            </w:r>
          </w:p>
        </w:tc>
      </w:tr>
    </w:tbl>
    <w:p/>
    <w:p>
      <w:r>
        <w:rPr>
          <w:rFonts w:ascii="Microsoft YaHei" w:hAnsi="Microsoft YaHei"/>
        </w:rPr>
        <w:t xml:space="preserve">所属板块全线下跌，其中 </w:t>
      </w:r>
      <w:r>
        <w:rPr>
          <w:rFonts w:ascii="Microsoft YaHei" w:hAnsi="Microsoft YaHei"/>
          <w:b/>
          <w:color w:val="1A1A1A"/>
        </w:rPr>
        <w:t>电子元件板块跌幅最深（-6.07%）</w:t>
      </w:r>
      <w:r>
        <w:rPr>
          <w:rFonts w:ascii="Microsoft YaHei" w:hAnsi="Microsoft YaHei"/>
        </w:rPr>
        <w:t>，是拖累鹏辉能源的核心板块因素。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放量杀跌、均线破位、空头排列，短线偏弱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 6532 万元，低位承接力度较强，多空分歧显著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技术支撑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布林下轨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53.27 元</w:t>
            </w:r>
            <w:r>
              <w:rPr>
                <w:rFonts w:ascii="Microsoft YaHei" w:hAnsi="Microsoft YaHei"/>
                <w:sz w:val="18"/>
              </w:rPr>
              <w:t xml:space="preserve"> 为关键支撑位，当前距其约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板块环境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电子元件/技术硬件板块系统性杀跌，是主要拖累因素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超跌信号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 MA20 达 15.7%，技术性超跌反弹需求在累积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核心风险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双创指数持续走弱风险 + 板块系统性抛压尚未缓解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：今日鹏辉能源呈现典型的 </w:t>
      </w:r>
      <w:r>
        <w:rPr>
          <w:rFonts w:ascii="Microsoft YaHei" w:hAnsi="Microsoft YaHei"/>
          <w:b/>
          <w:color w:val="1A1A1A"/>
        </w:rPr>
        <w:t>"被动杀跌"</w:t>
      </w:r>
      <w:r>
        <w:rPr>
          <w:rFonts w:ascii="Microsoft YaHei" w:hAnsi="Microsoft YaHei"/>
        </w:rPr>
        <w:t xml:space="preserve"> 特征——个股基本面（固态电池/锂电池板块逆势上涨）与盘面走势出现背离，大跌更多源于所属技术硬件/电子元件板块的系统性抛售以及双创指数的共振杀跌。值得注意的是，尽管股价大跌近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，但资金流向呈现 </w:t>
      </w:r>
      <w:r>
        <w:rPr>
          <w:rFonts w:ascii="Microsoft YaHei" w:hAnsi="Microsoft YaHei"/>
          <w:b/>
          <w:color w:val="1A1A1A"/>
        </w:rPr>
        <w:t>6532 万元净流入</w:t>
      </w:r>
      <w:r>
        <w:rPr>
          <w:rFonts w:ascii="Microsoft YaHei" w:hAnsi="Microsoft YaHei"/>
        </w:rPr>
        <w:t xml:space="preserve">，说明有资金在低位积极接筹。短期需关注 </w:t>
      </w:r>
      <w:r>
        <w:rPr>
          <w:rFonts w:ascii="Microsoft YaHei" w:hAnsi="Microsoft YaHei"/>
          <w:b/>
          <w:color w:val="1A1A1A"/>
        </w:rPr>
        <w:t>布林下轨（53.27 元）</w:t>
      </w:r>
      <w:r>
        <w:rPr>
          <w:rFonts w:ascii="Microsoft YaHei" w:hAnsi="Microsoft YaHei"/>
        </w:rPr>
        <w:t xml:space="preserve"> 的支撑有效性，以及大盘指数的企稳信号。若后续板块情绪修复，该股存在较强的超跌反弹动能。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：以上分析基于盘中公开数据，不构成投资建议。股市有风险，投资需谨慎。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鹏辉能源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