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TCL科技（000100.SZ）午间分析报告</w:t>
      </w:r>
    </w:p>
    <w:p>
      <w:r>
        <w:rPr>
          <w:rFonts w:ascii="Microsoft YaHei" w:hAnsi="Microsoft YaHei"/>
        </w:rPr>
        <w:t xml:space="preserve">&gt; </w:t>
      </w:r>
      <w:r>
        <w:rPr>
          <w:rFonts w:ascii="Microsoft YaHei" w:hAnsi="Microsoft YaHei"/>
          <w:b/>
          <w:color w:val="1A1A1A"/>
        </w:rPr>
        <w:t>数据截止</w:t>
      </w:r>
      <w:r>
        <w:rPr>
          <w:rFonts w:ascii="Microsoft YaHei" w:hAnsi="Microsoft YaHei"/>
        </w:rPr>
        <w:t xml:space="preserve">：2026年7月29日 11:30 | </w:t>
      </w:r>
      <w:r>
        <w:rPr>
          <w:rFonts w:ascii="Microsoft YaHei" w:hAnsi="Microsoft YaHei"/>
          <w:b/>
          <w:color w:val="1A1A1A"/>
        </w:rPr>
        <w:t>当前价</w:t>
      </w:r>
      <w:r>
        <w:rPr>
          <w:rFonts w:ascii="Microsoft YaHei" w:hAnsi="Microsoft YaHei"/>
        </w:rPr>
        <w:t xml:space="preserve">：4.97元 | </w:t>
      </w:r>
      <w:r>
        <w:rPr>
          <w:rFonts w:ascii="Microsoft YaHei" w:hAnsi="Microsoft YaHei"/>
          <w:b/>
          <w:color w:val="1A1A1A"/>
        </w:rPr>
        <w:t>涨跌幅</w:t>
      </w:r>
      <w:r>
        <w:rPr>
          <w:rFonts w:ascii="Microsoft YaHei" w:hAnsi="Microsoft YaHei"/>
        </w:rPr>
        <w:t>：-0.60%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今日全市场呈现</w:t>
      </w:r>
      <w:r>
        <w:rPr>
          <w:rFonts w:ascii="Microsoft YaHei" w:hAnsi="Microsoft YaHei"/>
          <w:b/>
          <w:color w:val="1A1A1A"/>
        </w:rPr>
        <w:t>显著分化</w:t>
      </w:r>
      <w:r>
        <w:rPr>
          <w:rFonts w:ascii="Microsoft YaHei" w:hAnsi="Microsoft YaHei"/>
        </w:rPr>
        <w:t xml:space="preserve">格局。沪指表现相对稳健，但创业板指低开低走，盘中一度跌超6%，AI硬件、半导体芯片板块领跌。全市场成交额 </w:t>
      </w:r>
      <w:r>
        <w:rPr>
          <w:rFonts w:ascii="Microsoft YaHei" w:hAnsi="Microsoft YaHei"/>
          <w:b/>
          <w:color w:val="1A1A1A"/>
        </w:rPr>
        <w:t>2.06万亿</w:t>
      </w:r>
      <w:r>
        <w:rPr>
          <w:rFonts w:ascii="Microsoft YaHei" w:hAnsi="Microsoft YaHei"/>
        </w:rPr>
        <w:t xml:space="preserve">（较前日+2960亿），上涨占比 </w:t>
      </w:r>
      <w:r>
        <w:rPr>
          <w:rFonts w:ascii="Microsoft YaHei" w:hAnsi="Microsoft YaHei"/>
          <w:b/>
          <w:color w:val="1A1A1A"/>
        </w:rPr>
        <w:t>83%</w:t>
      </w:r>
      <w:r>
        <w:rPr>
          <w:rFonts w:ascii="Microsoft YaHei" w:hAnsi="Microsoft YaHei"/>
        </w:rPr>
        <w:t xml:space="preserve">，涨停76只，市场情绪热度维持 </w:t>
      </w:r>
      <w:r>
        <w:rPr>
          <w:rFonts w:ascii="Microsoft YaHei" w:hAnsi="Microsoft YaHei"/>
          <w:b/>
          <w:color w:val="1A1A1A"/>
        </w:rPr>
        <w:t>68（高）</w:t>
      </w:r>
      <w:r>
        <w:rPr>
          <w:rFonts w:ascii="Microsoft YaHei" w:hAnsi="Microsoft YaHei"/>
        </w:rPr>
        <w:t xml:space="preserve">。但赚钱效应仅 </w:t>
      </w:r>
      <w:r>
        <w:rPr>
          <w:rFonts w:ascii="Microsoft YaHei" w:hAnsi="Microsoft YaHei"/>
          <w:b/>
          <w:color w:val="1A1A1A"/>
        </w:rPr>
        <w:t>51%</w:t>
      </w:r>
      <w:r>
        <w:rPr>
          <w:rFonts w:ascii="Microsoft YaHei" w:hAnsi="Microsoft YaHei"/>
        </w:rPr>
        <w:t>，显示指数下跌压制了个股活跃度，存量资金博弈加剧。</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p>
      <w:pPr>
        <w:spacing w:before="280" w:after="80" w:line="312" w:lineRule="auto"/>
      </w:pPr>
      <w:r>
        <w:rPr>
          <w:rFonts w:ascii="Microsoft YaHei" w:hAnsi="Microsoft YaHei"/>
          <w:b/>
          <w:color w:val="333333"/>
          <w:sz w:val="24"/>
        </w:rPr>
        <w:t>盘口数据</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开盘/最高/最低</w:t>
            </w:r>
          </w:p>
        </w:tc>
        <w:tc>
          <w:tcPr>
            <w:tcW w:type="dxa" w:w="4533"/>
          </w:tcPr>
          <w:p>
            <w:pPr>
              <w:spacing w:before="40" w:after="40" w:line="288" w:lineRule="auto"/>
            </w:pPr>
            <w:r/>
            <w:r>
              <w:rPr>
                <w:rFonts w:ascii="Microsoft YaHei" w:hAnsi="Microsoft YaHei"/>
                <w:sz w:val="18"/>
              </w:rPr>
              <w:t>5.01 / 5.10 / 4.89</w:t>
            </w:r>
          </w:p>
        </w:tc>
      </w:tr>
      <w:tr>
        <w:tc>
          <w:tcPr>
            <w:tcW w:type="dxa" w:w="4533"/>
            <w:shd w:fill="F8F9FA" w:val="clear"/>
          </w:tcPr>
          <w:p>
            <w:pPr>
              <w:spacing w:before="40" w:after="40" w:line="288" w:lineRule="auto"/>
            </w:pPr>
            <w:r/>
            <w:r>
              <w:rPr>
                <w:rFonts w:ascii="Microsoft YaHei" w:hAnsi="Microsoft YaHei"/>
                <w:sz w:val="18"/>
              </w:rPr>
              <w:t>均价</w:t>
            </w:r>
          </w:p>
        </w:tc>
        <w:tc>
          <w:tcPr>
            <w:tcW w:type="dxa" w:w="4533"/>
            <w:shd w:fill="F8F9FA" w:val="clear"/>
          </w:tcPr>
          <w:p>
            <w:pPr>
              <w:spacing w:before="40" w:after="40" w:line="288" w:lineRule="auto"/>
            </w:pPr>
            <w:r/>
            <w:r>
              <w:rPr>
                <w:rFonts w:ascii="Microsoft YaHei" w:hAnsi="Microsoft YaHei"/>
                <w:sz w:val="18"/>
              </w:rPr>
              <w:t>5.01</w:t>
            </w:r>
          </w:p>
        </w:tc>
      </w:tr>
      <w:tr>
        <w:tc>
          <w:tcPr>
            <w:tcW w:type="dxa" w:w="4533"/>
          </w:tcPr>
          <w:p>
            <w:pPr>
              <w:spacing w:before="40" w:after="40" w:line="288" w:lineRule="auto"/>
            </w:pPr>
            <w:r/>
            <w:r>
              <w:rPr>
                <w:rFonts w:ascii="Microsoft YaHei" w:hAnsi="Microsoft YaHei"/>
                <w:sz w:val="18"/>
              </w:rPr>
              <w:t>涨跌幅</w:t>
            </w:r>
          </w:p>
        </w:tc>
        <w:tc>
          <w:tcPr>
            <w:tcW w:type="dxa" w:w="4533"/>
          </w:tcPr>
          <w:p>
            <w:pPr>
              <w:spacing w:before="40" w:after="40" w:line="288" w:lineRule="auto"/>
            </w:pPr>
            <w:r/>
            <w:r>
              <w:rPr>
                <w:rFonts w:ascii="Microsoft YaHei" w:hAnsi="Microsoft YaHei"/>
                <w:b/>
                <w:color w:val="1A1A1A"/>
                <w:sz w:val="18"/>
              </w:rPr>
              <w:t>-0.60%</w:t>
            </w:r>
          </w:p>
        </w:tc>
      </w:tr>
      <w:tr>
        <w:tc>
          <w:tcPr>
            <w:tcW w:type="dxa" w:w="4533"/>
            <w:shd w:fill="F8F9FA" w:val="clear"/>
          </w:tcPr>
          <w:p>
            <w:pPr>
              <w:spacing w:before="40" w:after="40" w:line="288" w:lineRule="auto"/>
            </w:pPr>
            <w:r/>
            <w:r>
              <w:rPr>
                <w:rFonts w:ascii="Microsoft YaHei" w:hAnsi="Microsoft YaHei"/>
                <w:sz w:val="18"/>
              </w:rPr>
              <w:t>成交量（手）</w:t>
            </w:r>
          </w:p>
        </w:tc>
        <w:tc>
          <w:tcPr>
            <w:tcW w:type="dxa" w:w="4533"/>
            <w:shd w:fill="F8F9FA" w:val="clear"/>
          </w:tcPr>
          <w:p>
            <w:pPr>
              <w:spacing w:before="40" w:after="40" w:line="288" w:lineRule="auto"/>
            </w:pPr>
            <w:r/>
            <w:r>
              <w:rPr>
                <w:rFonts w:ascii="Microsoft YaHei" w:hAnsi="Microsoft YaHei"/>
                <w:sz w:val="18"/>
              </w:rPr>
              <w:t>8,365,729</w:t>
            </w:r>
          </w:p>
        </w:tc>
      </w:tr>
      <w:tr>
        <w:tc>
          <w:tcPr>
            <w:tcW w:type="dxa" w:w="4533"/>
          </w:tcPr>
          <w:p>
            <w:pPr>
              <w:spacing w:before="40" w:after="40" w:line="288" w:lineRule="auto"/>
            </w:pPr>
            <w:r/>
            <w:r>
              <w:rPr>
                <w:rFonts w:ascii="Microsoft YaHei" w:hAnsi="Microsoft YaHei"/>
                <w:sz w:val="18"/>
              </w:rPr>
              <w:t>成交额（万元）</w:t>
            </w:r>
          </w:p>
        </w:tc>
        <w:tc>
          <w:tcPr>
            <w:tcW w:type="dxa" w:w="4533"/>
          </w:tcPr>
          <w:p>
            <w:pPr>
              <w:spacing w:before="40" w:after="40" w:line="288" w:lineRule="auto"/>
            </w:pPr>
            <w:r/>
            <w:r>
              <w:rPr>
                <w:rFonts w:ascii="Microsoft YaHei" w:hAnsi="Microsoft YaHei"/>
                <w:b/>
                <w:color w:val="1A1A1A"/>
                <w:sz w:val="18"/>
              </w:rPr>
              <w:t>419,255</w:t>
            </w:r>
          </w:p>
        </w:tc>
      </w:tr>
      <w:tr>
        <w:tc>
          <w:tcPr>
            <w:tcW w:type="dxa" w:w="4533"/>
            <w:shd w:fill="F8F9FA" w:val="clear"/>
          </w:tcPr>
          <w:p>
            <w:pPr>
              <w:spacing w:before="40" w:after="40" w:line="288" w:lineRule="auto"/>
            </w:pPr>
            <w:r/>
            <w:r>
              <w:rPr>
                <w:rFonts w:ascii="Microsoft YaHei" w:hAnsi="Microsoft YaHei"/>
                <w:sz w:val="18"/>
              </w:rPr>
              <w:t>换手率</w:t>
            </w:r>
          </w:p>
        </w:tc>
        <w:tc>
          <w:tcPr>
            <w:tcW w:type="dxa" w:w="4533"/>
            <w:shd w:fill="F8F9FA" w:val="clear"/>
          </w:tcPr>
          <w:p>
            <w:pPr>
              <w:spacing w:before="40" w:after="40" w:line="288" w:lineRule="auto"/>
            </w:pPr>
            <w:r/>
            <w:r>
              <w:rPr>
                <w:rFonts w:ascii="Microsoft YaHei" w:hAnsi="Microsoft YaHei"/>
                <w:b/>
                <w:color w:val="1A1A1A"/>
                <w:sz w:val="18"/>
              </w:rPr>
              <w:t>4.16%</w:t>
            </w:r>
            <w:r>
              <w:rPr>
                <w:rFonts w:ascii="Microsoft YaHei" w:hAnsi="Microsoft YaHei"/>
                <w:sz w:val="18"/>
              </w:rPr>
              <w:t xml:space="preserve">（昨日日终2.61%，放量 </w:t>
            </w:r>
            <w:r>
              <w:rPr>
                <w:rFonts w:ascii="Microsoft YaHei" w:hAnsi="Microsoft YaHei"/>
                <w:b/>
                <w:color w:val="1A1A1A"/>
                <w:sz w:val="18"/>
              </w:rPr>
              <w:t>1.59倍</w:t>
            </w:r>
            <w:r>
              <w:rPr>
                <w:rFonts w:ascii="Microsoft YaHei" w:hAnsi="Microsoft YaHei"/>
                <w:sz w:val="18"/>
              </w:rPr>
              <w:t>）</w:t>
            </w:r>
          </w:p>
        </w:tc>
      </w:tr>
      <w:tr>
        <w:tc>
          <w:tcPr>
            <w:tcW w:type="dxa" w:w="4533"/>
          </w:tcPr>
          <w:p>
            <w:pPr>
              <w:spacing w:before="40" w:after="40" w:line="288" w:lineRule="auto"/>
            </w:pPr>
            <w:r/>
            <w:r>
              <w:rPr>
                <w:rFonts w:ascii="Microsoft YaHei" w:hAnsi="Microsoft YaHei"/>
                <w:sz w:val="18"/>
              </w:rPr>
              <w:t>振幅</w:t>
            </w:r>
          </w:p>
        </w:tc>
        <w:tc>
          <w:tcPr>
            <w:tcW w:type="dxa" w:w="4533"/>
          </w:tcPr>
          <w:p>
            <w:pPr>
              <w:spacing w:before="40" w:after="40" w:line="288" w:lineRule="auto"/>
            </w:pPr>
            <w:r/>
            <w:r>
              <w:rPr>
                <w:rFonts w:ascii="Microsoft YaHei" w:hAnsi="Microsoft YaHei"/>
                <w:b/>
                <w:color w:val="1A1A1A"/>
                <w:sz w:val="18"/>
              </w:rPr>
              <w:t>4.20%</w:t>
            </w:r>
          </w:p>
        </w:tc>
      </w:tr>
      <w:tr>
        <w:tc>
          <w:tcPr>
            <w:tcW w:type="dxa" w:w="4533"/>
            <w:shd w:fill="F8F9FA" w:val="clear"/>
          </w:tcPr>
          <w:p>
            <w:pPr>
              <w:spacing w:before="40" w:after="40" w:line="288" w:lineRule="auto"/>
            </w:pPr>
            <w:r/>
            <w:r>
              <w:rPr>
                <w:rFonts w:ascii="Microsoft YaHei" w:hAnsi="Microsoft YaHei"/>
                <w:sz w:val="18"/>
              </w:rPr>
              <w:t>量比</w:t>
            </w:r>
          </w:p>
        </w:tc>
        <w:tc>
          <w:tcPr>
            <w:tcW w:type="dxa" w:w="4533"/>
            <w:shd w:fill="F8F9FA" w:val="clear"/>
          </w:tcPr>
          <w:p>
            <w:pPr>
              <w:spacing w:before="40" w:after="40" w:line="288" w:lineRule="auto"/>
            </w:pPr>
            <w:r/>
            <w:r>
              <w:rPr>
                <w:rFonts w:ascii="Microsoft YaHei" w:hAnsi="Microsoft YaHei"/>
                <w:sz w:val="18"/>
              </w:rPr>
              <w:t>0.9</w:t>
            </w:r>
          </w:p>
        </w:tc>
      </w:tr>
    </w:tbl>
    <w:p/>
    <w:p>
      <w:pPr>
        <w:spacing w:before="280" w:after="80" w:line="312" w:lineRule="auto"/>
      </w:pPr>
      <w:r>
        <w:rPr>
          <w:rFonts w:ascii="Microsoft YaHei" w:hAnsi="Microsoft YaHei"/>
          <w:b/>
          <w:color w:val="333333"/>
          <w:sz w:val="24"/>
        </w:rPr>
        <w:t>估值指标</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动态市盈率</w:t>
            </w:r>
          </w:p>
        </w:tc>
        <w:tc>
          <w:tcPr>
            <w:tcW w:type="dxa" w:w="4533"/>
          </w:tcPr>
          <w:p>
            <w:pPr>
              <w:spacing w:before="40" w:after="40" w:line="288" w:lineRule="auto"/>
            </w:pPr>
            <w:r/>
            <w:r>
              <w:rPr>
                <w:rFonts w:ascii="Microsoft YaHei" w:hAnsi="Microsoft YaHei"/>
                <w:b/>
                <w:color w:val="1A1A1A"/>
                <w:sz w:val="18"/>
              </w:rPr>
              <w:t>16.61</w:t>
            </w:r>
          </w:p>
        </w:tc>
      </w:tr>
      <w:tr>
        <w:tc>
          <w:tcPr>
            <w:tcW w:type="dxa" w:w="4533"/>
            <w:shd w:fill="F8F9FA" w:val="clear"/>
          </w:tcPr>
          <w:p>
            <w:pPr>
              <w:spacing w:before="40" w:after="40" w:line="288" w:lineRule="auto"/>
            </w:pPr>
            <w:r/>
            <w:r>
              <w:rPr>
                <w:rFonts w:ascii="Microsoft YaHei" w:hAnsi="Microsoft YaHei"/>
                <w:sz w:val="18"/>
              </w:rPr>
              <w:t>市净率</w:t>
            </w:r>
          </w:p>
        </w:tc>
        <w:tc>
          <w:tcPr>
            <w:tcW w:type="dxa" w:w="4533"/>
            <w:shd w:fill="F8F9FA" w:val="clear"/>
          </w:tcPr>
          <w:p>
            <w:pPr>
              <w:spacing w:before="40" w:after="40" w:line="288" w:lineRule="auto"/>
            </w:pPr>
            <w:r/>
            <w:r>
              <w:rPr>
                <w:rFonts w:ascii="Microsoft YaHei" w:hAnsi="Microsoft YaHei"/>
                <w:b/>
                <w:color w:val="1A1A1A"/>
                <w:sz w:val="18"/>
              </w:rPr>
              <w:t>1.70</w:t>
            </w:r>
          </w:p>
        </w:tc>
      </w:tr>
      <w:tr>
        <w:tc>
          <w:tcPr>
            <w:tcW w:type="dxa" w:w="4533"/>
          </w:tcPr>
          <w:p>
            <w:pPr>
              <w:spacing w:before="40" w:after="40" w:line="288" w:lineRule="auto"/>
            </w:pPr>
            <w:r/>
            <w:r>
              <w:rPr>
                <w:rFonts w:ascii="Microsoft YaHei" w:hAnsi="Microsoft YaHei"/>
                <w:sz w:val="18"/>
              </w:rPr>
              <w:t>总市值（亿元）</w:t>
            </w:r>
          </w:p>
        </w:tc>
        <w:tc>
          <w:tcPr>
            <w:tcW w:type="dxa" w:w="4533"/>
          </w:tcPr>
          <w:p>
            <w:pPr>
              <w:spacing w:before="40" w:after="40" w:line="288" w:lineRule="auto"/>
            </w:pPr>
            <w:r/>
            <w:r>
              <w:rPr>
                <w:rFonts w:ascii="Microsoft YaHei" w:hAnsi="Microsoft YaHei"/>
                <w:sz w:val="18"/>
              </w:rPr>
              <w:t>1,033.8</w:t>
            </w:r>
          </w:p>
        </w:tc>
      </w:tr>
      <w:tr>
        <w:tc>
          <w:tcPr>
            <w:tcW w:type="dxa" w:w="4533"/>
            <w:shd w:fill="F8F9FA" w:val="clear"/>
          </w:tcPr>
          <w:p>
            <w:pPr>
              <w:spacing w:before="40" w:after="40" w:line="288" w:lineRule="auto"/>
            </w:pPr>
            <w:r/>
            <w:r>
              <w:rPr>
                <w:rFonts w:ascii="Microsoft YaHei" w:hAnsi="Microsoft YaHei"/>
                <w:sz w:val="18"/>
              </w:rPr>
              <w:t>流通市值（亿元）</w:t>
            </w:r>
          </w:p>
        </w:tc>
        <w:tc>
          <w:tcPr>
            <w:tcW w:type="dxa" w:w="4533"/>
            <w:shd w:fill="F8F9FA" w:val="clear"/>
          </w:tcPr>
          <w:p>
            <w:pPr>
              <w:spacing w:before="40" w:after="40" w:line="288" w:lineRule="auto"/>
            </w:pPr>
            <w:r/>
            <w:r>
              <w:rPr>
                <w:rFonts w:ascii="Microsoft YaHei" w:hAnsi="Microsoft YaHei"/>
                <w:sz w:val="18"/>
              </w:rPr>
              <w:t>999.71</w:t>
            </w:r>
          </w:p>
        </w:tc>
      </w:tr>
    </w:tbl>
    <w:p/>
    <w:p>
      <w:r>
        <w:rPr>
          <w:rFonts w:ascii="Microsoft YaHei" w:hAnsi="Microsoft YaHei"/>
          <w:b/>
          <w:color w:val="1A1A1A"/>
        </w:rPr>
        <w:t>解读</w:t>
      </w:r>
      <w:r>
        <w:rPr>
          <w:rFonts w:ascii="Microsoft YaHei" w:hAnsi="Microsoft YaHei"/>
        </w:rPr>
        <w:t xml:space="preserve">：TCL科技今日低开于5.01元后一度冲高至5.10元（+2.0%），但随后震荡回落，午间收于4.97元，微跌0.60%。盘中最低探至4.89元，振幅达 </w:t>
      </w:r>
      <w:r>
        <w:rPr>
          <w:rFonts w:ascii="Microsoft YaHei" w:hAnsi="Microsoft YaHei"/>
          <w:b/>
          <w:color w:val="1A1A1A"/>
        </w:rPr>
        <w:t>4.20%</w:t>
      </w:r>
      <w:r>
        <w:rPr>
          <w:rFonts w:ascii="Microsoft YaHei" w:hAnsi="Microsoft YaHei"/>
        </w:rPr>
        <w:t xml:space="preserve">，多空博弈激烈。半日换手率 </w:t>
      </w:r>
      <w:r>
        <w:rPr>
          <w:rFonts w:ascii="Microsoft YaHei" w:hAnsi="Microsoft YaHei"/>
          <w:b/>
          <w:color w:val="1A1A1A"/>
        </w:rPr>
        <w:t>4.16%</w:t>
      </w:r>
      <w:r>
        <w:rPr>
          <w:rFonts w:ascii="Microsoft YaHei" w:hAnsi="Microsoft YaHei"/>
        </w:rPr>
        <w:t>，较昨日全天2.61%大幅放量，说明今日资金参与度显著提升。内盘（4,610,826手）大于外盘（3,754,903手），</w:t>
      </w:r>
      <w:r>
        <w:rPr>
          <w:rFonts w:ascii="Microsoft YaHei" w:hAnsi="Microsoft YaHei"/>
          <w:b/>
          <w:color w:val="1A1A1A"/>
        </w:rPr>
        <w:t>卖盘压力略占优势</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今日午间资金流向（逐分钟统计）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净流出 7,612.79万元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109分钟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98分钟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2,244.5万元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b/>
                <w:color w:val="1A1A1A"/>
                <w:sz w:val="18"/>
              </w:rPr>
              <w:t>5,501.4万元</w:t>
            </w:r>
          </w:p>
        </w:tc>
      </w:tr>
    </w:tbl>
    <w:p/>
    <w:p>
      <w:pPr>
        <w:spacing w:before="280" w:after="80" w:line="312" w:lineRule="auto"/>
      </w:pPr>
      <w:r>
        <w:rPr>
          <w:rFonts w:ascii="Microsoft YaHei" w:hAnsi="Microsoft YaHei"/>
          <w:b/>
          <w:color w:val="333333"/>
          <w:sz w:val="24"/>
        </w:rPr>
        <w:t>前一交易日资金细分（元）</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w:t>
            </w:r>
          </w:p>
        </w:tc>
        <w:tc>
          <w:tcPr>
            <w:tcW w:type="dxa" w:w="3022"/>
            <w:shd w:fill="F6F8FA" w:val="clear"/>
          </w:tcPr>
          <w:p>
            <w:pPr>
              <w:spacing w:before="40" w:after="40" w:line="288" w:lineRule="auto"/>
            </w:pPr>
            <w:r/>
            <w:r>
              <w:rPr>
                <w:rFonts w:ascii="Microsoft YaHei" w:hAnsi="Microsoft YaHei"/>
                <w:b/>
                <w:color w:val="1A1A1A"/>
                <w:sz w:val="18"/>
              </w:rPr>
              <w:t>方向</w:t>
            </w:r>
          </w:p>
        </w:tc>
      </w:tr>
      <w:tr>
        <w:tc>
          <w:tcPr>
            <w:tcW w:type="dxa" w:w="3022"/>
          </w:tcPr>
          <w:p>
            <w:pPr>
              <w:spacing w:before="40" w:after="40" w:line="288" w:lineRule="auto"/>
            </w:pPr>
            <w:r/>
            <w:r>
              <w:rPr>
                <w:rFonts w:ascii="Microsoft YaHei" w:hAnsi="Microsoft YaHei"/>
                <w:sz w:val="18"/>
              </w:rPr>
              <w:t>大单</w:t>
            </w:r>
          </w:p>
        </w:tc>
        <w:tc>
          <w:tcPr>
            <w:tcW w:type="dxa" w:w="3022"/>
          </w:tcPr>
          <w:p>
            <w:pPr>
              <w:spacing w:before="40" w:after="40" w:line="288" w:lineRule="auto"/>
            </w:pPr>
            <w:r/>
            <w:r>
              <w:rPr>
                <w:rFonts w:ascii="Microsoft YaHei" w:hAnsi="Microsoft YaHei"/>
                <w:b/>
                <w:color w:val="1A1A1A"/>
                <w:sz w:val="18"/>
              </w:rPr>
              <w:t>-1.12亿</w:t>
            </w:r>
          </w:p>
        </w:tc>
        <w:tc>
          <w:tcPr>
            <w:tcW w:type="dxa" w:w="3022"/>
          </w:tcPr>
          <w:p>
            <w:pPr>
              <w:spacing w:before="40" w:after="40" w:line="288" w:lineRule="auto"/>
            </w:pPr>
            <w:r/>
            <w:r>
              <w:rPr>
                <w:rFonts w:ascii="Microsoft YaHei" w:hAnsi="Microsoft YaHei"/>
                <w:sz w:val="18"/>
              </w:rPr>
              <w:t>❌ 净流出</w:t>
            </w:r>
          </w:p>
        </w:tc>
      </w:tr>
      <w:tr>
        <w:tc>
          <w:tcPr>
            <w:tcW w:type="dxa" w:w="3022"/>
            <w:shd w:fill="F8F9FA" w:val="clear"/>
          </w:tcPr>
          <w:p>
            <w:pPr>
              <w:spacing w:before="40" w:after="40" w:line="288" w:lineRule="auto"/>
            </w:pPr>
            <w:r/>
            <w:r>
              <w:rPr>
                <w:rFonts w:ascii="Microsoft YaHei" w:hAnsi="Microsoft YaHei"/>
                <w:sz w:val="18"/>
              </w:rPr>
              <w:t>中单</w:t>
            </w:r>
          </w:p>
        </w:tc>
        <w:tc>
          <w:tcPr>
            <w:tcW w:type="dxa" w:w="3022"/>
            <w:shd w:fill="F8F9FA" w:val="clear"/>
          </w:tcPr>
          <w:p>
            <w:pPr>
              <w:spacing w:before="40" w:after="40" w:line="288" w:lineRule="auto"/>
            </w:pPr>
            <w:r/>
            <w:r>
              <w:rPr>
                <w:rFonts w:ascii="Microsoft YaHei" w:hAnsi="Microsoft YaHei"/>
                <w:sz w:val="18"/>
              </w:rPr>
              <w:t>+6,458.75万</w:t>
            </w:r>
          </w:p>
        </w:tc>
        <w:tc>
          <w:tcPr>
            <w:tcW w:type="dxa" w:w="3022"/>
            <w:shd w:fill="F8F9FA" w:val="clear"/>
          </w:tcPr>
          <w:p>
            <w:pPr>
              <w:spacing w:before="40" w:after="40" w:line="288" w:lineRule="auto"/>
            </w:pPr>
            <w:r/>
            <w:r>
              <w:rPr>
                <w:rFonts w:ascii="Microsoft YaHei" w:hAnsi="Microsoft YaHei"/>
                <w:sz w:val="18"/>
              </w:rPr>
              <w:t>✅ 净流入</w:t>
            </w:r>
          </w:p>
        </w:tc>
      </w:tr>
      <w:tr>
        <w:tc>
          <w:tcPr>
            <w:tcW w:type="dxa" w:w="3022"/>
          </w:tcPr>
          <w:p>
            <w:pPr>
              <w:spacing w:before="40" w:after="40" w:line="288" w:lineRule="auto"/>
            </w:pPr>
            <w:r/>
            <w:r>
              <w:rPr>
                <w:rFonts w:ascii="Microsoft YaHei" w:hAnsi="Microsoft YaHei"/>
                <w:sz w:val="18"/>
              </w:rPr>
              <w:t>小单</w:t>
            </w:r>
          </w:p>
        </w:tc>
        <w:tc>
          <w:tcPr>
            <w:tcW w:type="dxa" w:w="3022"/>
          </w:tcPr>
          <w:p>
            <w:pPr>
              <w:spacing w:before="40" w:after="40" w:line="288" w:lineRule="auto"/>
            </w:pPr>
            <w:r/>
            <w:r>
              <w:rPr>
                <w:rFonts w:ascii="Microsoft YaHei" w:hAnsi="Microsoft YaHei"/>
                <w:sz w:val="18"/>
              </w:rPr>
              <w:t>-2,847.97万</w:t>
            </w:r>
          </w:p>
        </w:tc>
        <w:tc>
          <w:tcPr>
            <w:tcW w:type="dxa" w:w="3022"/>
          </w:tcPr>
          <w:p>
            <w:pPr>
              <w:spacing w:before="40" w:after="40" w:line="288" w:lineRule="auto"/>
            </w:pPr>
            <w:r/>
            <w:r>
              <w:rPr>
                <w:rFonts w:ascii="Microsoft YaHei" w:hAnsi="Microsoft YaHei"/>
                <w:sz w:val="18"/>
              </w:rPr>
              <w:t>❌ 净流出</w:t>
            </w:r>
          </w:p>
        </w:tc>
      </w:tr>
    </w:tbl>
    <w:p/>
    <w:p>
      <w:pPr>
        <w:spacing w:before="280" w:after="80" w:line="312" w:lineRule="auto"/>
      </w:pPr>
      <w:r>
        <w:rPr>
          <w:rFonts w:ascii="Microsoft YaHei" w:hAnsi="Microsoft YaHei"/>
          <w:b/>
          <w:color w:val="333333"/>
          <w:sz w:val="24"/>
        </w:rPr>
        <w:t>融资融券（前一交易日）</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融资余额</w:t>
            </w:r>
          </w:p>
        </w:tc>
        <w:tc>
          <w:tcPr>
            <w:tcW w:type="dxa" w:w="4533"/>
          </w:tcPr>
          <w:p>
            <w:pPr>
              <w:spacing w:before="40" w:after="40" w:line="288" w:lineRule="auto"/>
            </w:pPr>
            <w:r/>
            <w:r>
              <w:rPr>
                <w:rFonts w:ascii="Microsoft YaHei" w:hAnsi="Microsoft YaHei"/>
                <w:b/>
                <w:color w:val="1A1A1A"/>
                <w:sz w:val="18"/>
              </w:rPr>
              <w:t>49.48亿</w:t>
            </w:r>
            <w:r>
              <w:rPr>
                <w:rFonts w:ascii="Microsoft YaHei" w:hAnsi="Microsoft YaHei"/>
                <w:sz w:val="18"/>
              </w:rPr>
              <w:t>（较前日+0.48%）</w:t>
            </w:r>
          </w:p>
        </w:tc>
      </w:tr>
      <w:tr>
        <w:tc>
          <w:tcPr>
            <w:tcW w:type="dxa" w:w="4533"/>
            <w:shd w:fill="F8F9FA" w:val="clear"/>
          </w:tcPr>
          <w:p>
            <w:pPr>
              <w:spacing w:before="40" w:after="40" w:line="288" w:lineRule="auto"/>
            </w:pPr>
            <w:r/>
            <w:r>
              <w:rPr>
                <w:rFonts w:ascii="Microsoft YaHei" w:hAnsi="Microsoft YaHei"/>
                <w:sz w:val="18"/>
              </w:rPr>
              <w:t>融券余额</w:t>
            </w:r>
          </w:p>
        </w:tc>
        <w:tc>
          <w:tcPr>
            <w:tcW w:type="dxa" w:w="4533"/>
            <w:shd w:fill="F8F9FA" w:val="clear"/>
          </w:tcPr>
          <w:p>
            <w:pPr>
              <w:spacing w:before="40" w:after="40" w:line="288" w:lineRule="auto"/>
            </w:pPr>
            <w:r/>
            <w:r>
              <w:rPr>
                <w:rFonts w:ascii="Microsoft YaHei" w:hAnsi="Microsoft YaHei"/>
                <w:sz w:val="18"/>
              </w:rPr>
              <w:t>0.11亿（较前日-6.47%）</w:t>
            </w:r>
          </w:p>
        </w:tc>
      </w:tr>
    </w:tbl>
    <w:p/>
    <w:p>
      <w:r>
        <w:rPr>
          <w:rFonts w:ascii="Microsoft YaHei" w:hAnsi="Microsoft YaHei"/>
          <w:b/>
          <w:color w:val="1A1A1A"/>
        </w:rPr>
        <w:t>解读</w:t>
      </w:r>
      <w:r>
        <w:rPr>
          <w:rFonts w:ascii="Microsoft YaHei" w:hAnsi="Microsoft YaHei"/>
        </w:rPr>
        <w:t>：今日午间资金呈净流出状态，</w:t>
      </w:r>
      <w:r>
        <w:rPr>
          <w:rFonts w:ascii="Microsoft YaHei" w:hAnsi="Microsoft YaHei"/>
          <w:b/>
          <w:color w:val="1A1A1A"/>
        </w:rPr>
        <w:t>最大单分钟流出高达5,501万元</w:t>
      </w:r>
      <w:r>
        <w:rPr>
          <w:rFonts w:ascii="Microsoft YaHei" w:hAnsi="Microsoft YaHei"/>
        </w:rPr>
        <w:t xml:space="preserve">，存在大单集中抛售迹象。上一交易日大单净流出 </w:t>
      </w:r>
      <w:r>
        <w:rPr>
          <w:rFonts w:ascii="Microsoft YaHei" w:hAnsi="Microsoft YaHei"/>
          <w:b/>
          <w:color w:val="1A1A1A"/>
        </w:rPr>
        <w:t>1.12亿元</w:t>
      </w:r>
      <w:r>
        <w:rPr>
          <w:rFonts w:ascii="Microsoft YaHei" w:hAnsi="Microsoft YaHei"/>
        </w:rPr>
        <w:t>，中单小幅净流入，小单净流出。融资余额小幅增长0.48%至49.48亿，说明部分杠杆资金仍在逢低参与，但整体资金面偏谨慎。</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sz w:val="18"/>
              </w:rPr>
              <w:t>MA5（≈5.10）</w:t>
            </w:r>
          </w:p>
        </w:tc>
        <w:tc>
          <w:tcPr>
            <w:tcW w:type="dxa" w:w="3022"/>
          </w:tcPr>
          <w:p>
            <w:pPr>
              <w:spacing w:before="40" w:after="40" w:line="288" w:lineRule="auto"/>
            </w:pPr>
            <w:r/>
            <w:r>
              <w:rPr>
                <w:rFonts w:ascii="Microsoft YaHei" w:hAnsi="Microsoft YaHei"/>
                <w:sz w:val="18"/>
              </w:rPr>
              <w:t xml:space="preserve">当前价 </w:t>
            </w:r>
            <w:r>
              <w:rPr>
                <w:rFonts w:ascii="Microsoft YaHei" w:hAnsi="Microsoft YaHei"/>
                <w:b/>
                <w:color w:val="1A1A1A"/>
                <w:sz w:val="18"/>
              </w:rPr>
              <w:t>下方</w:t>
            </w:r>
          </w:p>
        </w:tc>
        <w:tc>
          <w:tcPr>
            <w:tcW w:type="dxa" w:w="3022"/>
          </w:tcPr>
          <w:p>
            <w:pPr>
              <w:spacing w:before="40" w:after="40" w:line="288" w:lineRule="auto"/>
            </w:pPr>
            <w:r/>
            <w:r>
              <w:rPr>
                <w:rFonts w:ascii="Microsoft YaHei" w:hAnsi="Microsoft YaHei"/>
                <w:b/>
                <w:color w:val="1A1A1A"/>
                <w:sz w:val="18"/>
              </w:rPr>
              <w:t>-2.5%</w:t>
            </w:r>
          </w:p>
        </w:tc>
      </w:tr>
      <w:tr>
        <w:tc>
          <w:tcPr>
            <w:tcW w:type="dxa" w:w="3022"/>
            <w:shd w:fill="F8F9FA" w:val="clear"/>
          </w:tcPr>
          <w:p>
            <w:pPr>
              <w:spacing w:before="40" w:after="40" w:line="288" w:lineRule="auto"/>
            </w:pPr>
            <w:r/>
            <w:r>
              <w:rPr>
                <w:rFonts w:ascii="Microsoft YaHei" w:hAnsi="Microsoft YaHei"/>
                <w:sz w:val="18"/>
              </w:rPr>
              <w:t>MA10（≈5.06）</w:t>
            </w:r>
          </w:p>
        </w:tc>
        <w:tc>
          <w:tcPr>
            <w:tcW w:type="dxa" w:w="3022"/>
            <w:shd w:fill="F8F9FA" w:val="clear"/>
          </w:tcPr>
          <w:p>
            <w:pPr>
              <w:spacing w:before="40" w:after="40" w:line="288" w:lineRule="auto"/>
            </w:pPr>
            <w:r/>
            <w:r>
              <w:rPr>
                <w:rFonts w:ascii="Microsoft YaHei" w:hAnsi="Microsoft YaHei"/>
                <w:sz w:val="18"/>
              </w:rPr>
              <w:t xml:space="preserve">当前价 </w:t>
            </w:r>
            <w:r>
              <w:rPr>
                <w:rFonts w:ascii="Microsoft YaHei" w:hAnsi="Microsoft YaHei"/>
                <w:b/>
                <w:color w:val="1A1A1A"/>
                <w:sz w:val="18"/>
              </w:rPr>
              <w:t>下方</w:t>
            </w:r>
          </w:p>
        </w:tc>
        <w:tc>
          <w:tcPr>
            <w:tcW w:type="dxa" w:w="3022"/>
            <w:shd w:fill="F8F9FA" w:val="clear"/>
          </w:tcPr>
          <w:p>
            <w:pPr>
              <w:spacing w:before="40" w:after="40" w:line="288" w:lineRule="auto"/>
            </w:pPr>
            <w:r/>
            <w:r>
              <w:rPr>
                <w:rFonts w:ascii="Microsoft YaHei" w:hAnsi="Microsoft YaHei"/>
                <w:b/>
                <w:color w:val="1A1A1A"/>
                <w:sz w:val="18"/>
              </w:rPr>
              <w:t>-1.8%</w:t>
            </w:r>
          </w:p>
        </w:tc>
      </w:tr>
      <w:tr>
        <w:tc>
          <w:tcPr>
            <w:tcW w:type="dxa" w:w="3022"/>
          </w:tcPr>
          <w:p>
            <w:pPr>
              <w:spacing w:before="40" w:after="40" w:line="288" w:lineRule="auto"/>
            </w:pPr>
            <w:r/>
            <w:r>
              <w:rPr>
                <w:rFonts w:ascii="Microsoft YaHei" w:hAnsi="Microsoft YaHei"/>
                <w:sz w:val="18"/>
              </w:rPr>
              <w:t>MA20/布林中轨（≈5.25）</w:t>
            </w:r>
          </w:p>
        </w:tc>
        <w:tc>
          <w:tcPr>
            <w:tcW w:type="dxa" w:w="3022"/>
          </w:tcPr>
          <w:p>
            <w:pPr>
              <w:spacing w:before="40" w:after="40" w:line="288" w:lineRule="auto"/>
            </w:pPr>
            <w:r/>
            <w:r>
              <w:rPr>
                <w:rFonts w:ascii="Microsoft YaHei" w:hAnsi="Microsoft YaHei"/>
                <w:sz w:val="18"/>
              </w:rPr>
              <w:t xml:space="preserve">当前价 </w:t>
            </w:r>
            <w:r>
              <w:rPr>
                <w:rFonts w:ascii="Microsoft YaHei" w:hAnsi="Microsoft YaHei"/>
                <w:b/>
                <w:color w:val="1A1A1A"/>
                <w:sz w:val="18"/>
              </w:rPr>
              <w:t>下方</w:t>
            </w:r>
          </w:p>
        </w:tc>
        <w:tc>
          <w:tcPr>
            <w:tcW w:type="dxa" w:w="3022"/>
          </w:tcPr>
          <w:p>
            <w:pPr>
              <w:spacing w:before="40" w:after="40" w:line="288" w:lineRule="auto"/>
            </w:pPr>
            <w:r/>
            <w:r>
              <w:rPr>
                <w:rFonts w:ascii="Microsoft YaHei" w:hAnsi="Microsoft YaHei"/>
                <w:b/>
                <w:color w:val="1A1A1A"/>
                <w:sz w:val="18"/>
              </w:rPr>
              <w:t>-5.3%</w:t>
            </w:r>
          </w:p>
        </w:tc>
      </w:tr>
      <w:tr>
        <w:tc>
          <w:tcPr>
            <w:tcW w:type="dxa" w:w="3022"/>
            <w:shd w:fill="F8F9FA" w:val="clear"/>
          </w:tcPr>
          <w:p>
            <w:pPr>
              <w:spacing w:before="40" w:after="40" w:line="288" w:lineRule="auto"/>
            </w:pPr>
            <w:r/>
            <w:r>
              <w:rPr>
                <w:rFonts w:ascii="Microsoft YaHei" w:hAnsi="Microsoft YaHei"/>
                <w:sz w:val="18"/>
              </w:rPr>
              <w:t>布林带上轨</w:t>
            </w:r>
          </w:p>
        </w:tc>
        <w:tc>
          <w:tcPr>
            <w:tcW w:type="dxa" w:w="3022"/>
            <w:shd w:fill="F8F9FA" w:val="clear"/>
          </w:tcPr>
          <w:p>
            <w:pPr>
              <w:spacing w:before="40" w:after="40" w:line="288" w:lineRule="auto"/>
            </w:pPr>
            <w:r/>
            <w:r>
              <w:rPr>
                <w:rFonts w:ascii="Microsoft YaHei" w:hAnsi="Microsoft YaHei"/>
                <w:sz w:val="18"/>
              </w:rPr>
              <w:t>5.87</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布林带下轨</w:t>
            </w:r>
          </w:p>
        </w:tc>
        <w:tc>
          <w:tcPr>
            <w:tcW w:type="dxa" w:w="3022"/>
          </w:tcPr>
          <w:p>
            <w:pPr>
              <w:spacing w:before="40" w:after="40" w:line="288" w:lineRule="auto"/>
            </w:pPr>
            <w:r/>
            <w:r>
              <w:rPr>
                <w:rFonts w:ascii="Microsoft YaHei" w:hAnsi="Microsoft YaHei"/>
                <w:sz w:val="18"/>
              </w:rPr>
              <w:t>4.63</w:t>
            </w:r>
          </w:p>
        </w:tc>
        <w:tc>
          <w:tcPr>
            <w:tcW w:type="dxa" w:w="3022"/>
          </w:tcPr>
          <w:p>
            <w:pPr>
              <w:spacing w:before="40" w:after="40" w:line="288" w:lineRule="auto"/>
            </w:pPr>
            <w:r/>
            <w:r>
              <w:rPr>
                <w:rFonts w:ascii="Microsoft YaHei" w:hAnsi="Microsoft YaHei"/>
                <w:sz w:val="18"/>
              </w:rPr>
              <w:t>—</w:t>
            </w:r>
          </w:p>
        </w:tc>
      </w:tr>
    </w:tbl>
    <w:p/>
    <w:p>
      <w:r>
        <w:rPr>
          <w:rFonts w:ascii="Microsoft YaHei" w:hAnsi="Microsoft YaHei"/>
          <w:b/>
          <w:color w:val="1A1A1A"/>
        </w:rPr>
        <w:t>解读</w:t>
      </w:r>
      <w:r>
        <w:rPr>
          <w:rFonts w:ascii="Microsoft YaHei" w:hAnsi="Microsoft YaHei"/>
        </w:rPr>
        <w:t>：TCL科技当前价4.97元，已</w:t>
      </w:r>
      <w:r>
        <w:rPr>
          <w:rFonts w:ascii="Microsoft YaHei" w:hAnsi="Microsoft YaHei"/>
          <w:b/>
          <w:color w:val="1A1A1A"/>
        </w:rPr>
        <w:t>跌破MA5、MA10、MA20三条短期均线</w:t>
      </w:r>
      <w:r>
        <w:rPr>
          <w:rFonts w:ascii="Microsoft YaHei" w:hAnsi="Microsoft YaHei"/>
        </w:rPr>
        <w:t xml:space="preserve">，处于空头排列状态。距离布林带下轨4.63元尚有约 </w:t>
      </w:r>
      <w:r>
        <w:rPr>
          <w:rFonts w:ascii="Microsoft YaHei" w:hAnsi="Microsoft YaHei"/>
          <w:b/>
          <w:color w:val="1A1A1A"/>
        </w:rPr>
        <w:t>7.3%空间</w:t>
      </w:r>
      <w:r>
        <w:rPr>
          <w:rFonts w:ascii="Microsoft YaHei" w:hAnsi="Microsoft YaHei"/>
        </w:rPr>
        <w:t>，尚未触及超卖区域。早盘最低探至4.89元后回升，表明4.89-4.90附近有短期支撑，但上方5.06-5.10（MA10/MA5）构成反压区间。技术面整体偏弱，需关注能否收复5元整数关口。</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影响研判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消息</w:t>
            </w:r>
          </w:p>
        </w:tc>
        <w:tc>
          <w:tcPr>
            <w:tcW w:type="dxa" w:w="3022"/>
            <w:shd w:fill="F6F8FA" w:val="clear"/>
          </w:tcPr>
          <w:p>
            <w:pPr>
              <w:spacing w:before="40" w:after="40" w:line="288" w:lineRule="auto"/>
            </w:pPr>
            <w:r/>
            <w:r>
              <w:rPr>
                <w:rFonts w:ascii="Microsoft YaHei" w:hAnsi="Microsoft YaHei"/>
                <w:b/>
                <w:color w:val="1A1A1A"/>
                <w:sz w:val="18"/>
              </w:rPr>
              <w:t>影响方向</w:t>
            </w:r>
          </w:p>
        </w:tc>
        <w:tc>
          <w:tcPr>
            <w:tcW w:type="dxa" w:w="3022"/>
            <w:shd w:fill="F6F8FA" w:val="clear"/>
          </w:tcPr>
          <w:p>
            <w:pPr>
              <w:spacing w:before="40" w:after="40" w:line="288" w:lineRule="auto"/>
            </w:pPr>
            <w:r/>
            <w:r>
              <w:rPr>
                <w:rFonts w:ascii="Microsoft YaHei" w:hAnsi="Microsoft YaHei"/>
                <w:b/>
                <w:color w:val="1A1A1A"/>
                <w:sz w:val="18"/>
              </w:rPr>
              <w:t>分析</w:t>
            </w:r>
          </w:p>
        </w:tc>
      </w:tr>
      <w:tr>
        <w:tc>
          <w:tcPr>
            <w:tcW w:type="dxa" w:w="3022"/>
          </w:tcPr>
          <w:p>
            <w:pPr>
              <w:spacing w:before="40" w:after="40" w:line="288" w:lineRule="auto"/>
            </w:pPr>
            <w:r/>
            <w:r>
              <w:rPr>
                <w:rFonts w:ascii="Microsoft YaHei" w:hAnsi="Microsoft YaHei"/>
                <w:b/>
                <w:color w:val="1A1A1A"/>
                <w:sz w:val="18"/>
              </w:rPr>
              <w:t>美股半导体板块连续重挫</w:t>
            </w:r>
            <w:r>
              <w:rPr>
                <w:rFonts w:ascii="Microsoft YaHei" w:hAnsi="Microsoft YaHei"/>
                <w:sz w:val="18"/>
              </w:rPr>
              <w:t>：费城半导体指数两日累跌超6%，SK海力士、美光、闪迪等存储股暴跌</w:t>
            </w:r>
          </w:p>
        </w:tc>
        <w:tc>
          <w:tcPr>
            <w:tcW w:type="dxa" w:w="3022"/>
          </w:tcPr>
          <w:p>
            <w:pPr>
              <w:spacing w:before="40" w:after="40" w:line="288" w:lineRule="auto"/>
            </w:pPr>
            <w:r/>
            <w:r>
              <w:rPr>
                <w:rFonts w:ascii="Microsoft YaHei" w:hAnsi="Microsoft YaHei"/>
                <w:sz w:val="18"/>
              </w:rPr>
              <w:t>⚠️ 偏空</w:t>
            </w:r>
          </w:p>
        </w:tc>
        <w:tc>
          <w:tcPr>
            <w:tcW w:type="dxa" w:w="3022"/>
          </w:tcPr>
          <w:p>
            <w:pPr>
              <w:spacing w:before="40" w:after="40" w:line="288" w:lineRule="auto"/>
            </w:pPr>
            <w:r/>
            <w:r>
              <w:rPr>
                <w:rFonts w:ascii="Microsoft YaHei" w:hAnsi="Microsoft YaHei"/>
                <w:sz w:val="18"/>
              </w:rPr>
              <w:t>全球半导体/存储板块持续承压，情绪面传导至A股电子板块。TCL科技虽主营显示面板而非存储芯片，但作为电子行业龙头受板块联动影响</w:t>
            </w:r>
          </w:p>
        </w:tc>
      </w:tr>
      <w:tr>
        <w:tc>
          <w:tcPr>
            <w:tcW w:type="dxa" w:w="3022"/>
            <w:shd w:fill="F8F9FA" w:val="clear"/>
          </w:tcPr>
          <w:p>
            <w:pPr>
              <w:spacing w:before="40" w:after="40" w:line="288" w:lineRule="auto"/>
            </w:pPr>
            <w:r/>
            <w:r>
              <w:rPr>
                <w:rFonts w:ascii="Microsoft YaHei" w:hAnsi="Microsoft YaHei"/>
                <w:b/>
                <w:color w:val="1A1A1A"/>
                <w:sz w:val="18"/>
              </w:rPr>
              <w:t>京东方A公告控股股东拟增持5-10亿元</w:t>
            </w:r>
          </w:p>
        </w:tc>
        <w:tc>
          <w:tcPr>
            <w:tcW w:type="dxa" w:w="3022"/>
            <w:shd w:fill="F8F9FA" w:val="clear"/>
          </w:tcPr>
          <w:p>
            <w:pPr>
              <w:spacing w:before="40" w:after="40" w:line="288" w:lineRule="auto"/>
            </w:pPr>
            <w:r/>
            <w:r>
              <w:rPr>
                <w:rFonts w:ascii="Microsoft YaHei" w:hAnsi="Microsoft YaHei"/>
                <w:sz w:val="18"/>
              </w:rPr>
              <w:t>✅ 偏多</w:t>
            </w:r>
          </w:p>
        </w:tc>
        <w:tc>
          <w:tcPr>
            <w:tcW w:type="dxa" w:w="3022"/>
            <w:shd w:fill="F8F9FA" w:val="clear"/>
          </w:tcPr>
          <w:p>
            <w:pPr>
              <w:spacing w:before="40" w:after="40" w:line="288" w:lineRule="auto"/>
            </w:pPr>
            <w:r/>
            <w:r>
              <w:rPr>
                <w:rFonts w:ascii="Microsoft YaHei" w:hAnsi="Microsoft YaHei"/>
                <w:sz w:val="18"/>
              </w:rPr>
              <w:t>同行业龙头获大股东增持，对面板板块是积极信号，一定程度提振行业信心</w:t>
            </w:r>
          </w:p>
        </w:tc>
      </w:tr>
      <w:tr>
        <w:tc>
          <w:tcPr>
            <w:tcW w:type="dxa" w:w="3022"/>
          </w:tcPr>
          <w:p>
            <w:pPr>
              <w:spacing w:before="40" w:after="40" w:line="288" w:lineRule="auto"/>
            </w:pPr>
            <w:r/>
            <w:r>
              <w:rPr>
                <w:rFonts w:ascii="Microsoft YaHei" w:hAnsi="Microsoft YaHei"/>
                <w:b/>
                <w:color w:val="1A1A1A"/>
                <w:sz w:val="18"/>
              </w:rPr>
              <w:t>长鑫科技上市首日暴涨465%</w:t>
            </w:r>
            <w:r>
              <w:rPr>
                <w:rFonts w:ascii="Microsoft YaHei" w:hAnsi="Microsoft YaHei"/>
                <w:sz w:val="18"/>
              </w:rPr>
              <w:t>（上周）</w:t>
            </w:r>
          </w:p>
        </w:tc>
        <w:tc>
          <w:tcPr>
            <w:tcW w:type="dxa" w:w="3022"/>
          </w:tcPr>
          <w:p>
            <w:pPr>
              <w:spacing w:before="40" w:after="40" w:line="288" w:lineRule="auto"/>
            </w:pPr>
            <w:r/>
            <w:r>
              <w:rPr>
                <w:rFonts w:ascii="Microsoft YaHei" w:hAnsi="Microsoft YaHei"/>
                <w:sz w:val="18"/>
              </w:rPr>
              <w:t>➡️ 中性偏多</w:t>
            </w:r>
          </w:p>
        </w:tc>
        <w:tc>
          <w:tcPr>
            <w:tcW w:type="dxa" w:w="3022"/>
          </w:tcPr>
          <w:p>
            <w:pPr>
              <w:spacing w:before="40" w:after="40" w:line="288" w:lineRule="auto"/>
            </w:pPr>
            <w:r/>
            <w:r>
              <w:rPr>
                <w:rFonts w:ascii="Microsoft YaHei" w:hAnsi="Microsoft YaHei"/>
                <w:sz w:val="18"/>
              </w:rPr>
              <w:t>半导体板块情绪一度高涨，但随后全球存储调整拖累，情绪已快速消退</w:t>
            </w:r>
          </w:p>
        </w:tc>
      </w:tr>
      <w:tr>
        <w:tc>
          <w:tcPr>
            <w:tcW w:type="dxa" w:w="3022"/>
            <w:shd w:fill="F8F9FA" w:val="clear"/>
          </w:tcPr>
          <w:p>
            <w:pPr>
              <w:spacing w:before="40" w:after="40" w:line="288" w:lineRule="auto"/>
            </w:pPr>
            <w:r/>
            <w:r>
              <w:rPr>
                <w:rFonts w:ascii="Microsoft YaHei" w:hAnsi="Microsoft YaHei"/>
                <w:b/>
                <w:color w:val="1A1A1A"/>
                <w:sz w:val="18"/>
              </w:rPr>
              <w:t>全球存储股年内高点回撤超50%</w:t>
            </w:r>
          </w:p>
        </w:tc>
        <w:tc>
          <w:tcPr>
            <w:tcW w:type="dxa" w:w="3022"/>
            <w:shd w:fill="F8F9FA" w:val="clear"/>
          </w:tcPr>
          <w:p>
            <w:pPr>
              <w:spacing w:before="40" w:after="40" w:line="288" w:lineRule="auto"/>
            </w:pPr>
            <w:r/>
            <w:r>
              <w:rPr>
                <w:rFonts w:ascii="Microsoft YaHei" w:hAnsi="Microsoft YaHei"/>
                <w:sz w:val="18"/>
              </w:rPr>
              <w:t>⚠️ 偏空</w:t>
            </w:r>
          </w:p>
        </w:tc>
        <w:tc>
          <w:tcPr>
            <w:tcW w:type="dxa" w:w="3022"/>
            <w:shd w:fill="F8F9FA" w:val="clear"/>
          </w:tcPr>
          <w:p>
            <w:pPr>
              <w:spacing w:before="40" w:after="40" w:line="288" w:lineRule="auto"/>
            </w:pPr>
            <w:r/>
            <w:r>
              <w:rPr>
                <w:rFonts w:ascii="Microsoft YaHei" w:hAnsi="Microsoft YaHei"/>
                <w:sz w:val="18"/>
              </w:rPr>
              <w:t>铠侠ADR较6月底高位回落57%、闪迪回落45%，行业景气预期下修；TCL科技旗下华星光电虽非存储，但电子整体需求预期受压制</w:t>
            </w:r>
          </w:p>
        </w:tc>
      </w:tr>
      <w:tr>
        <w:tc>
          <w:tcPr>
            <w:tcW w:type="dxa" w:w="3022"/>
          </w:tcPr>
          <w:p>
            <w:pPr>
              <w:spacing w:before="40" w:after="40" w:line="288" w:lineRule="auto"/>
            </w:pPr>
            <w:r/>
            <w:r>
              <w:rPr>
                <w:rFonts w:ascii="Microsoft YaHei" w:hAnsi="Microsoft YaHei"/>
                <w:b/>
                <w:color w:val="1A1A1A"/>
                <w:sz w:val="18"/>
              </w:rPr>
              <w:t>今日早盘竞价异动</w:t>
            </w:r>
            <w:r>
              <w:rPr>
                <w:rFonts w:ascii="Microsoft YaHei" w:hAnsi="Microsoft YaHei"/>
                <w:sz w:val="18"/>
              </w:rPr>
              <w:t>：60日大幅下跌（-0.61%至4.88元）</w:t>
            </w:r>
          </w:p>
        </w:tc>
        <w:tc>
          <w:tcPr>
            <w:tcW w:type="dxa" w:w="3022"/>
          </w:tcPr>
          <w:p>
            <w:pPr>
              <w:spacing w:before="40" w:after="40" w:line="288" w:lineRule="auto"/>
            </w:pPr>
            <w:r/>
            <w:r>
              <w:rPr>
                <w:rFonts w:ascii="Microsoft YaHei" w:hAnsi="Microsoft YaHei"/>
                <w:sz w:val="18"/>
              </w:rPr>
              <w:t>⚠️ 中性</w:t>
            </w:r>
          </w:p>
        </w:tc>
        <w:tc>
          <w:tcPr>
            <w:tcW w:type="dxa" w:w="3022"/>
          </w:tcPr>
          <w:p>
            <w:pPr>
              <w:spacing w:before="40" w:after="40" w:line="288" w:lineRule="auto"/>
            </w:pPr>
            <w:r/>
            <w:r>
              <w:rPr>
                <w:rFonts w:ascii="Microsoft YaHei" w:hAnsi="Microsoft YaHei"/>
                <w:sz w:val="18"/>
              </w:rPr>
              <w:t>早盘低开触发60日大幅下跌监测，但随后快速回升至4.97元</w:t>
            </w:r>
          </w:p>
        </w:tc>
      </w:tr>
    </w:tbl>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p>
      <w:pPr>
        <w:spacing w:before="280" w:after="80" w:line="312" w:lineRule="auto"/>
      </w:pPr>
      <w:r>
        <w:rPr>
          <w:rFonts w:ascii="Microsoft YaHei" w:hAnsi="Microsoft YaHei"/>
          <w:b/>
          <w:color w:val="333333"/>
          <w:sz w:val="24"/>
        </w:rPr>
        <w:t>TCL科技所属板块排名</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板块内排名</w:t>
            </w:r>
          </w:p>
        </w:tc>
        <w:tc>
          <w:tcPr>
            <w:tcW w:type="dxa" w:w="2266"/>
            <w:shd w:fill="F6F8FA" w:val="clear"/>
          </w:tcPr>
          <w:p>
            <w:pPr>
              <w:spacing w:before="40" w:after="40" w:line="288" w:lineRule="auto"/>
            </w:pPr>
            <w:r/>
            <w:r>
              <w:rPr>
                <w:rFonts w:ascii="Microsoft YaHei" w:hAnsi="Microsoft YaHei"/>
                <w:b/>
                <w:color w:val="1A1A1A"/>
                <w:sz w:val="18"/>
              </w:rPr>
              <w:t>走势判断</w:t>
            </w:r>
          </w:p>
        </w:tc>
      </w:tr>
      <w:tr>
        <w:tc>
          <w:tcPr>
            <w:tcW w:type="dxa" w:w="2266"/>
          </w:tcPr>
          <w:p>
            <w:pPr>
              <w:spacing w:before="40" w:after="40" w:line="288" w:lineRule="auto"/>
            </w:pPr>
            <w:r/>
            <w:r>
              <w:rPr>
                <w:rFonts w:ascii="Microsoft YaHei" w:hAnsi="Microsoft YaHei"/>
                <w:sz w:val="18"/>
              </w:rPr>
              <w:t>沪深300样本股</w:t>
            </w:r>
          </w:p>
        </w:tc>
        <w:tc>
          <w:tcPr>
            <w:tcW w:type="dxa" w:w="2266"/>
          </w:tcPr>
          <w:p>
            <w:pPr>
              <w:spacing w:before="40" w:after="40" w:line="288" w:lineRule="auto"/>
            </w:pPr>
            <w:r/>
            <w:r>
              <w:rPr>
                <w:rFonts w:ascii="Microsoft YaHei" w:hAnsi="Microsoft YaHei"/>
                <w:b/>
                <w:color w:val="1A1A1A"/>
                <w:sz w:val="18"/>
              </w:rPr>
              <w:t>+1.57%</w:t>
            </w:r>
          </w:p>
        </w:tc>
        <w:tc>
          <w:tcPr>
            <w:tcW w:type="dxa" w:w="2266"/>
          </w:tcPr>
          <w:p>
            <w:pPr>
              <w:spacing w:before="40" w:after="40" w:line="288" w:lineRule="auto"/>
            </w:pPr>
            <w:r/>
            <w:r>
              <w:rPr>
                <w:rFonts w:ascii="Microsoft YaHei" w:hAnsi="Microsoft YaHei"/>
                <w:sz w:val="18"/>
              </w:rPr>
              <w:t>263/319</w:t>
            </w:r>
          </w:p>
        </w:tc>
        <w:tc>
          <w:tcPr>
            <w:tcW w:type="dxa" w:w="2266"/>
          </w:tcPr>
          <w:p>
            <w:pPr>
              <w:spacing w:before="40" w:after="40" w:line="288" w:lineRule="auto"/>
            </w:pPr>
            <w:r/>
            <w:r>
              <w:rPr>
                <w:rFonts w:ascii="Microsoft YaHei" w:hAnsi="Microsoft YaHei"/>
                <w:sz w:val="18"/>
              </w:rPr>
              <w:t>明显跑输沪深300成分股均值</w:t>
            </w:r>
          </w:p>
        </w:tc>
      </w:tr>
      <w:tr>
        <w:tc>
          <w:tcPr>
            <w:tcW w:type="dxa" w:w="2266"/>
            <w:shd w:fill="F8F9FA" w:val="clear"/>
          </w:tcPr>
          <w:p>
            <w:pPr>
              <w:spacing w:before="40" w:after="40" w:line="288" w:lineRule="auto"/>
            </w:pPr>
            <w:r/>
            <w:r>
              <w:rPr>
                <w:rFonts w:ascii="Microsoft YaHei" w:hAnsi="Microsoft YaHei"/>
                <w:sz w:val="18"/>
              </w:rPr>
              <w:t>融资融券板块</w:t>
            </w:r>
          </w:p>
        </w:tc>
        <w:tc>
          <w:tcPr>
            <w:tcW w:type="dxa" w:w="2266"/>
            <w:shd w:fill="F8F9FA" w:val="clear"/>
          </w:tcPr>
          <w:p>
            <w:pPr>
              <w:spacing w:before="40" w:after="40" w:line="288" w:lineRule="auto"/>
            </w:pPr>
            <w:r/>
            <w:r>
              <w:rPr>
                <w:rFonts w:ascii="Microsoft YaHei" w:hAnsi="Microsoft YaHei"/>
                <w:b/>
                <w:color w:val="1A1A1A"/>
                <w:sz w:val="18"/>
              </w:rPr>
              <w:t>-1.92%</w:t>
            </w:r>
          </w:p>
        </w:tc>
        <w:tc>
          <w:tcPr>
            <w:tcW w:type="dxa" w:w="2266"/>
            <w:shd w:fill="F8F9FA" w:val="clear"/>
          </w:tcPr>
          <w:p>
            <w:pPr>
              <w:spacing w:before="40" w:after="40" w:line="288" w:lineRule="auto"/>
            </w:pPr>
            <w:r/>
            <w:r>
              <w:rPr>
                <w:rFonts w:ascii="Microsoft YaHei" w:hAnsi="Microsoft YaHei"/>
                <w:sz w:val="18"/>
              </w:rPr>
              <w:t>1,640/3,516</w:t>
            </w:r>
          </w:p>
        </w:tc>
        <w:tc>
          <w:tcPr>
            <w:tcW w:type="dxa" w:w="2266"/>
            <w:shd w:fill="F8F9FA" w:val="clear"/>
          </w:tcPr>
          <w:p>
            <w:pPr>
              <w:spacing w:before="40" w:after="40" w:line="288" w:lineRule="auto"/>
            </w:pPr>
            <w:r/>
            <w:r>
              <w:rPr>
                <w:rFonts w:ascii="Microsoft YaHei" w:hAnsi="Microsoft YaHei"/>
                <w:sz w:val="18"/>
              </w:rPr>
              <w:t>中下游水平</w:t>
            </w:r>
          </w:p>
        </w:tc>
      </w:tr>
      <w:tr>
        <w:tc>
          <w:tcPr>
            <w:tcW w:type="dxa" w:w="2266"/>
          </w:tcPr>
          <w:p>
            <w:pPr>
              <w:spacing w:before="40" w:after="40" w:line="288" w:lineRule="auto"/>
            </w:pPr>
            <w:r/>
            <w:r>
              <w:rPr>
                <w:rFonts w:ascii="Microsoft YaHei" w:hAnsi="Microsoft YaHei"/>
                <w:sz w:val="18"/>
              </w:rPr>
              <w:t>光伏概念</w:t>
            </w:r>
          </w:p>
        </w:tc>
        <w:tc>
          <w:tcPr>
            <w:tcW w:type="dxa" w:w="2266"/>
          </w:tcPr>
          <w:p>
            <w:pPr>
              <w:spacing w:before="40" w:after="40" w:line="288" w:lineRule="auto"/>
            </w:pPr>
            <w:r/>
            <w:r>
              <w:rPr>
                <w:rFonts w:ascii="Microsoft YaHei" w:hAnsi="Microsoft YaHei"/>
                <w:b/>
                <w:color w:val="1A1A1A"/>
                <w:sz w:val="18"/>
              </w:rPr>
              <w:t>-3.89%</w:t>
            </w:r>
          </w:p>
        </w:tc>
        <w:tc>
          <w:tcPr>
            <w:tcW w:type="dxa" w:w="2266"/>
          </w:tcPr>
          <w:p>
            <w:pPr>
              <w:spacing w:before="40" w:after="40" w:line="288" w:lineRule="auto"/>
            </w:pPr>
            <w:r/>
            <w:r>
              <w:rPr>
                <w:rFonts w:ascii="Microsoft YaHei" w:hAnsi="Microsoft YaHei"/>
                <w:sz w:val="18"/>
              </w:rPr>
              <w:t>134/574</w:t>
            </w:r>
          </w:p>
        </w:tc>
        <w:tc>
          <w:tcPr>
            <w:tcW w:type="dxa" w:w="2266"/>
          </w:tcPr>
          <w:p>
            <w:pPr>
              <w:spacing w:before="40" w:after="40" w:line="288" w:lineRule="auto"/>
            </w:pPr>
            <w:r/>
            <w:r>
              <w:rPr>
                <w:rFonts w:ascii="Microsoft YaHei" w:hAnsi="Microsoft YaHei"/>
                <w:sz w:val="18"/>
              </w:rPr>
              <w:t>光伏板块整体弱势</w:t>
            </w:r>
          </w:p>
        </w:tc>
      </w:tr>
      <w:tr>
        <w:tc>
          <w:tcPr>
            <w:tcW w:type="dxa" w:w="2266"/>
            <w:shd w:fill="F8F9FA" w:val="clear"/>
          </w:tcPr>
          <w:p>
            <w:pPr>
              <w:spacing w:before="40" w:after="40" w:line="288" w:lineRule="auto"/>
            </w:pPr>
            <w:r/>
            <w:r>
              <w:rPr>
                <w:rFonts w:ascii="Microsoft YaHei" w:hAnsi="Microsoft YaHei"/>
                <w:sz w:val="18"/>
              </w:rPr>
              <w:t>消费电子产品</w:t>
            </w:r>
          </w:p>
        </w:tc>
        <w:tc>
          <w:tcPr>
            <w:tcW w:type="dxa" w:w="2266"/>
            <w:shd w:fill="F8F9FA" w:val="clear"/>
          </w:tcPr>
          <w:p>
            <w:pPr>
              <w:spacing w:before="40" w:after="40" w:line="288" w:lineRule="auto"/>
            </w:pPr>
            <w:r/>
            <w:r>
              <w:rPr>
                <w:rFonts w:ascii="Microsoft YaHei" w:hAnsi="Microsoft YaHei"/>
                <w:b/>
                <w:color w:val="1A1A1A"/>
                <w:sz w:val="18"/>
              </w:rPr>
              <w:t>-3.60%</w:t>
            </w:r>
          </w:p>
        </w:tc>
        <w:tc>
          <w:tcPr>
            <w:tcW w:type="dxa" w:w="2266"/>
            <w:shd w:fill="F8F9FA" w:val="clear"/>
          </w:tcPr>
          <w:p>
            <w:pPr>
              <w:spacing w:before="40" w:after="40" w:line="288" w:lineRule="auto"/>
            </w:pPr>
            <w:r/>
            <w:r>
              <w:rPr>
                <w:rFonts w:ascii="Microsoft YaHei" w:hAnsi="Microsoft YaHei"/>
                <w:sz w:val="18"/>
              </w:rPr>
              <w:t>7/23</w:t>
            </w:r>
          </w:p>
        </w:tc>
        <w:tc>
          <w:tcPr>
            <w:tcW w:type="dxa" w:w="2266"/>
            <w:shd w:fill="F8F9FA" w:val="clear"/>
          </w:tcPr>
          <w:p>
            <w:pPr>
              <w:spacing w:before="40" w:after="40" w:line="288" w:lineRule="auto"/>
            </w:pPr>
            <w:r/>
            <w:r>
              <w:rPr>
                <w:rFonts w:ascii="Microsoft YaHei" w:hAnsi="Microsoft YaHei"/>
                <w:sz w:val="18"/>
              </w:rPr>
              <w:t>板块内居中偏强</w:t>
            </w:r>
          </w:p>
        </w:tc>
      </w:tr>
    </w:tbl>
    <w:p/>
    <w:p>
      <w:r>
        <w:rPr>
          <w:rFonts w:ascii="Microsoft YaHei" w:hAnsi="Microsoft YaHei"/>
          <w:b/>
          <w:color w:val="1A1A1A"/>
        </w:rPr>
        <w:t>解读</w:t>
      </w:r>
      <w:r>
        <w:rPr>
          <w:rFonts w:ascii="Microsoft YaHei" w:hAnsi="Microsoft YaHei"/>
        </w:rPr>
        <w:t xml:space="preserve">：TCL科技所属板块今日多数承压，其中消费电子板块下跌 </w:t>
      </w:r>
      <w:r>
        <w:rPr>
          <w:rFonts w:ascii="Microsoft YaHei" w:hAnsi="Microsoft YaHei"/>
          <w:b/>
          <w:color w:val="1A1A1A"/>
        </w:rPr>
        <w:t>3.60%</w:t>
      </w:r>
      <w:r>
        <w:rPr>
          <w:rFonts w:ascii="Microsoft YaHei" w:hAnsi="Microsoft YaHei"/>
        </w:rPr>
        <w:t xml:space="preserve">，光伏概念下跌 </w:t>
      </w:r>
      <w:r>
        <w:rPr>
          <w:rFonts w:ascii="Microsoft YaHei" w:hAnsi="Microsoft YaHei"/>
          <w:b/>
          <w:color w:val="1A1A1A"/>
        </w:rPr>
        <w:t>3.89%</w:t>
      </w:r>
      <w:r>
        <w:rPr>
          <w:rFonts w:ascii="Microsoft YaHei" w:hAnsi="Microsoft YaHei"/>
        </w:rPr>
        <w:t>，均表现较弱。值得注意的是，在消费电子板块23只成分股中，TCL科技排名第7/23，相对板块内其他个股表现尚可。作为沪深300成分股，今日沪深300整体上涨1.57%，TCL科技逆势下跌，</w:t>
      </w:r>
      <w:r>
        <w:rPr>
          <w:rFonts w:ascii="Microsoft YaHei" w:hAnsi="Microsoft YaHei"/>
          <w:b/>
          <w:color w:val="1A1A1A"/>
        </w:rPr>
        <w:t>明显弱于指数表现</w:t>
      </w:r>
      <w:r>
        <w:rPr>
          <w:rFonts w:ascii="Microsoft YaHei" w:hAnsi="Microsoft YaHei"/>
        </w:rPr>
        <w:t>，反映个股自身存在调整压力。</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p>
      <w:r>
        <w:rPr>
          <w:rFonts w:ascii="Microsoft YaHei" w:hAnsi="Microsoft YaHei"/>
          <w:b/>
          <w:color w:val="1A1A1A"/>
        </w:rPr>
        <w:t>主力观点</w:t>
      </w:r>
      <w:r>
        <w:rPr>
          <w:rFonts w:ascii="Microsoft YaHei" w:hAnsi="Microsoft YaHei"/>
        </w:rPr>
        <w:t>：震荡偏弱，等待企稳信号</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评分</w:t>
            </w:r>
          </w:p>
        </w:tc>
        <w:tc>
          <w:tcPr>
            <w:tcW w:type="dxa" w:w="3022"/>
            <w:shd w:fill="F6F8FA" w:val="clear"/>
          </w:tcPr>
          <w:p>
            <w:pPr>
              <w:spacing w:before="40" w:after="40" w:line="288" w:lineRule="auto"/>
            </w:pPr>
            <w:r/>
            <w:r>
              <w:rPr>
                <w:rFonts w:ascii="Microsoft YaHei" w:hAnsi="Microsoft YaHei"/>
                <w:b/>
                <w:color w:val="1A1A1A"/>
                <w:sz w:val="18"/>
              </w:rPr>
              <w:t>要点</w:t>
            </w:r>
          </w:p>
        </w:tc>
      </w:tr>
      <w:tr>
        <w:tc>
          <w:tcPr>
            <w:tcW w:type="dxa" w:w="3022"/>
          </w:tcPr>
          <w:p>
            <w:pPr>
              <w:spacing w:before="40" w:after="40" w:line="288" w:lineRule="auto"/>
            </w:pPr>
            <w:r/>
            <w:r>
              <w:rPr>
                <w:rFonts w:ascii="Microsoft YaHei" w:hAnsi="Microsoft YaHei"/>
                <w:sz w:val="18"/>
              </w:rPr>
              <w:t>资金面</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今日净流出7,612万元，大单持续流出；但融资余额仍维持49.48亿高位</w:t>
            </w:r>
          </w:p>
        </w:tc>
      </w:tr>
      <w:tr>
        <w:tc>
          <w:tcPr>
            <w:tcW w:type="dxa" w:w="3022"/>
            <w:shd w:fill="F8F9FA" w:val="clear"/>
          </w:tcPr>
          <w:p>
            <w:pPr>
              <w:spacing w:before="40" w:after="40" w:line="288" w:lineRule="auto"/>
            </w:pPr>
            <w:r/>
            <w:r>
              <w:rPr>
                <w:rFonts w:ascii="Microsoft YaHei" w:hAnsi="Microsoft YaHei"/>
                <w:sz w:val="18"/>
              </w:rPr>
              <w:t>技术面</w:t>
            </w:r>
          </w:p>
        </w:tc>
        <w:tc>
          <w:tcPr>
            <w:tcW w:type="dxa" w:w="3022"/>
            <w:shd w:fill="F8F9FA" w:val="clear"/>
          </w:tcPr>
          <w:p>
            <w:pPr>
              <w:spacing w:before="40" w:after="40" w:line="288" w:lineRule="auto"/>
            </w:pPr>
            <w:r/>
            <w:r>
              <w:rPr>
                <w:rFonts w:ascii="Microsoft YaHei" w:hAnsi="Microsoft YaHei"/>
                <w:sz w:val="18"/>
              </w:rPr>
              <w:t>⭐⭐</w:t>
            </w:r>
          </w:p>
        </w:tc>
        <w:tc>
          <w:tcPr>
            <w:tcW w:type="dxa" w:w="3022"/>
            <w:shd w:fill="F8F9FA" w:val="clear"/>
          </w:tcPr>
          <w:p>
            <w:pPr>
              <w:spacing w:before="40" w:after="40" w:line="288" w:lineRule="auto"/>
            </w:pPr>
            <w:r/>
            <w:r>
              <w:rPr>
                <w:rFonts w:ascii="Microsoft YaHei" w:hAnsi="Microsoft YaHei"/>
                <w:sz w:val="18"/>
              </w:rPr>
              <w:t>跌破MA5/MA10/MA20，空头排列；布林下轨4.63为中期支撑参考</w:t>
            </w:r>
          </w:p>
        </w:tc>
      </w:tr>
      <w:tr>
        <w:tc>
          <w:tcPr>
            <w:tcW w:type="dxa" w:w="3022"/>
          </w:tcPr>
          <w:p>
            <w:pPr>
              <w:spacing w:before="40" w:after="40" w:line="288" w:lineRule="auto"/>
            </w:pPr>
            <w:r/>
            <w:r>
              <w:rPr>
                <w:rFonts w:ascii="Microsoft YaHei" w:hAnsi="Microsoft YaHei"/>
                <w:sz w:val="18"/>
              </w:rPr>
              <w:t>消息面</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全球电子板块情绪承压，但面板同业增持提供一定对冲</w:t>
            </w:r>
          </w:p>
        </w:tc>
      </w:tr>
      <w:tr>
        <w:tc>
          <w:tcPr>
            <w:tcW w:type="dxa" w:w="3022"/>
            <w:shd w:fill="F8F9FA" w:val="clear"/>
          </w:tcPr>
          <w:p>
            <w:pPr>
              <w:spacing w:before="40" w:after="40" w:line="288" w:lineRule="auto"/>
            </w:pPr>
            <w:r/>
            <w:r>
              <w:rPr>
                <w:rFonts w:ascii="Microsoft YaHei" w:hAnsi="Microsoft YaHei"/>
                <w:sz w:val="18"/>
              </w:rPr>
              <w:t>估值面</w:t>
            </w:r>
          </w:p>
        </w:tc>
        <w:tc>
          <w:tcPr>
            <w:tcW w:type="dxa" w:w="3022"/>
            <w:shd w:fill="F8F9FA" w:val="clear"/>
          </w:tcPr>
          <w:p>
            <w:pPr>
              <w:spacing w:before="40" w:after="40" w:line="288" w:lineRule="auto"/>
            </w:pPr>
            <w:r/>
            <w:r>
              <w:rPr>
                <w:rFonts w:ascii="Microsoft YaHei" w:hAnsi="Microsoft YaHei"/>
                <w:sz w:val="18"/>
              </w:rPr>
              <w:t>⭐⭐⭐⭐</w:t>
            </w:r>
          </w:p>
        </w:tc>
        <w:tc>
          <w:tcPr>
            <w:tcW w:type="dxa" w:w="3022"/>
            <w:shd w:fill="F8F9FA" w:val="clear"/>
          </w:tcPr>
          <w:p>
            <w:pPr>
              <w:spacing w:before="40" w:after="40" w:line="288" w:lineRule="auto"/>
            </w:pPr>
            <w:r/>
            <w:r>
              <w:rPr>
                <w:rFonts w:ascii="Microsoft YaHei" w:hAnsi="Microsoft YaHei"/>
                <w:sz w:val="18"/>
              </w:rPr>
              <w:t xml:space="preserve">PE </w:t>
            </w:r>
            <w:r>
              <w:rPr>
                <w:rFonts w:ascii="Microsoft YaHei" w:hAnsi="Microsoft YaHei"/>
                <w:b/>
                <w:color w:val="1A1A1A"/>
                <w:sz w:val="18"/>
              </w:rPr>
              <w:t>16.61倍</w:t>
            </w:r>
            <w:r>
              <w:rPr>
                <w:rFonts w:ascii="Microsoft YaHei" w:hAnsi="Microsoft YaHei"/>
                <w:sz w:val="18"/>
              </w:rPr>
              <w:t xml:space="preserve">、PB </w:t>
            </w:r>
            <w:r>
              <w:rPr>
                <w:rFonts w:ascii="Microsoft YaHei" w:hAnsi="Microsoft YaHei"/>
                <w:b/>
                <w:color w:val="1A1A1A"/>
                <w:sz w:val="18"/>
              </w:rPr>
              <w:t>1.70倍</w:t>
            </w:r>
            <w:r>
              <w:rPr>
                <w:rFonts w:ascii="Microsoft YaHei" w:hAnsi="Microsoft YaHei"/>
                <w:sz w:val="18"/>
              </w:rPr>
              <w:t>，处于历史中等偏低水平，安全边际尚可</w:t>
            </w:r>
          </w:p>
        </w:tc>
      </w:tr>
    </w:tbl>
    <w:p/>
    <w:p>
      <w:r>
        <w:rPr>
          <w:rFonts w:ascii="Microsoft YaHei" w:hAnsi="Microsoft YaHei"/>
          <w:b/>
          <w:color w:val="1A1A1A"/>
        </w:rPr>
        <w:t>关键观察点</w:t>
      </w:r>
      <w:r>
        <w:rPr>
          <w:rFonts w:ascii="Microsoft YaHei" w:hAnsi="Microsoft YaHei"/>
        </w:rPr>
        <w:t>：</w:t>
      </w:r>
    </w:p>
    <w:p>
      <w:pPr>
        <w:pStyle w:val="ListNumber"/>
      </w:pPr>
      <w:r>
        <w:rPr>
          <w:rFonts w:ascii="Microsoft YaHei" w:hAnsi="Microsoft YaHei"/>
          <w:b/>
          <w:color w:val="1A1A1A"/>
        </w:rPr>
        <w:t>短期支撑与压力</w:t>
      </w:r>
      <w:r>
        <w:rPr>
          <w:rFonts w:ascii="Microsoft YaHei" w:hAnsi="Microsoft YaHei"/>
        </w:rPr>
        <w:t>：下方关注4.89（今日低点）及4.63（布林下轨）支撑；上方5.06-5.10（MA10/MA5）为短期反压</w:t>
      </w:r>
    </w:p>
    <w:p>
      <w:pPr>
        <w:pStyle w:val="ListNumber"/>
      </w:pPr>
      <w:r>
        <w:rPr>
          <w:rFonts w:ascii="Microsoft YaHei" w:hAnsi="Microsoft YaHei"/>
          <w:b/>
          <w:color w:val="1A1A1A"/>
        </w:rPr>
        <w:t>量能观察</w:t>
      </w:r>
      <w:r>
        <w:rPr>
          <w:rFonts w:ascii="Microsoft YaHei" w:hAnsi="Microsoft YaHei"/>
        </w:rPr>
        <w:t>：半日换手4.16%为近阶段较高水平，若午后放量站稳5元关口，则短线有望企稳</w:t>
      </w:r>
    </w:p>
    <w:p>
      <w:pPr>
        <w:pStyle w:val="ListNumber"/>
      </w:pPr>
      <w:r>
        <w:rPr>
          <w:rFonts w:ascii="Microsoft YaHei" w:hAnsi="Microsoft YaHei"/>
          <w:b/>
          <w:color w:val="1A1A1A"/>
        </w:rPr>
        <w:t>行业联动</w:t>
      </w:r>
      <w:r>
        <w:rPr>
          <w:rFonts w:ascii="Microsoft YaHei" w:hAnsi="Microsoft YaHei"/>
        </w:rPr>
        <w:t>：全球半导体板块仍在调整中，需关注今晚美股费城半导体指数能否止跌，这将直接影响明日A股电子板块情绪</w:t>
      </w:r>
    </w:p>
    <w:p>
      <w:pPr>
        <w:pStyle w:val="ListNumber"/>
      </w:pPr>
      <w:r>
        <w:rPr>
          <w:rFonts w:ascii="Microsoft YaHei" w:hAnsi="Microsoft YaHei"/>
          <w:b/>
          <w:color w:val="1A1A1A"/>
        </w:rPr>
        <w:t>估值保护</w:t>
      </w:r>
      <w:r>
        <w:rPr>
          <w:rFonts w:ascii="Microsoft YaHei" w:hAnsi="Microsoft YaHei"/>
        </w:rPr>
        <w:t>：当前PE仅16.61倍，PB 1.70倍，估值已回落至合理偏低区间，或限制下行空间</w:t>
      </w:r>
    </w:p>
    <w:p>
      <w:r>
        <w:rPr>
          <w:rFonts w:ascii="Microsoft YaHei" w:hAnsi="Microsoft YaHei"/>
          <w:b/>
          <w:color w:val="1A1A1A"/>
        </w:rPr>
        <w:t>综合来看</w:t>
      </w:r>
      <w:r>
        <w:rPr>
          <w:rFonts w:ascii="Microsoft YaHei" w:hAnsi="Microsoft YaHei"/>
        </w:rPr>
        <w:t>，TCL科技今日受全球半导体板块调整情绪传导及自身技术面空头排列影响，表现弱于大盘。但估值已具一定安全垫，且同行业京东方获大股东增持信号积极。</w:t>
      </w:r>
      <w:r>
        <w:rPr>
          <w:rFonts w:ascii="Microsoft YaHei" w:hAnsi="Microsoft YaHei"/>
          <w:b/>
          <w:color w:val="1A1A1A"/>
        </w:rPr>
        <w:t>短期建议观望为主</w:t>
      </w:r>
      <w:r>
        <w:rPr>
          <w:rFonts w:ascii="Microsoft YaHei" w:hAnsi="Microsoft YaHei"/>
        </w:rPr>
        <w:t>，关注4.89-5.00区间能否形成有效支撑，等待技术面修复信号后再作决策。</w:t>
      </w:r>
    </w:p>
    <w:p>
      <w:r>
        <w:rPr>
          <w:rFonts w:ascii="Microsoft YaHei" w:hAnsi="Microsoft YaHei"/>
        </w:rPr>
        <w:t xml:space="preserve">&gt; ⚠️ </w:t>
      </w:r>
      <w:r>
        <w:rPr>
          <w:rFonts w:ascii="Microsoft YaHei" w:hAnsi="Microsoft YaHei"/>
          <w:b/>
          <w:color w:val="1A1A1A"/>
        </w:rPr>
        <w:t>风险提示</w:t>
      </w:r>
      <w:r>
        <w:rPr>
          <w:rFonts w:ascii="Microsoft YaHei" w:hAnsi="Microsoft YaHei"/>
        </w:rPr>
        <w:t>：以上分析基于公开数据，不构成投资建议。全球半导体产业链调整幅度及持续时间存在不确定性，板块轮动风险需重点关注。</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TCL科技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