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上港集团（600018.SH）午间分析报告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: 2026-07-28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: 5.22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: +0.97%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今日全市场情绪一般，热度评分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2,603</w:t>
      </w:r>
      <w:r>
        <w:rPr>
          <w:rFonts w:ascii="Microsoft YaHei" w:hAnsi="Microsoft YaHei"/>
        </w:rPr>
        <w:t xml:space="preserve"> 只 vs 下跌 </w:t>
      </w:r>
      <w:r>
        <w:rPr>
          <w:rFonts w:ascii="Microsoft YaHei" w:hAnsi="Microsoft YaHei"/>
          <w:b/>
          <w:color w:val="1A1A1A"/>
        </w:rPr>
        <w:t>2,769</w:t>
      </w:r>
      <w:r>
        <w:rPr>
          <w:rFonts w:ascii="Microsoft YaHei" w:hAnsi="Microsoft YaHei"/>
        </w:rPr>
        <w:t xml:space="preserve"> 只，涨停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 vs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只。赚钱效应为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，整体市场涨跌互现，交投活跃度有所回落，两市成交额 2.03 万亿（较前一交易日缩量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）。</w:t>
      </w:r>
    </w:p>
    <w:p>
      <w:r>
        <w:rPr>
          <w:rFonts w:ascii="Microsoft YaHei" w:hAnsi="Microsoft YaHei"/>
        </w:rPr>
        <w:t xml:space="preserve">上港集团所属的 </w:t>
      </w:r>
      <w:r>
        <w:rPr>
          <w:rFonts w:ascii="Microsoft YaHei" w:hAnsi="Microsoft YaHei"/>
          <w:b/>
          <w:color w:val="1A1A1A"/>
        </w:rPr>
        <w:t>交通基本设施板块（+0.87%）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海港与服务板块（+0.60%）</w:t>
      </w:r>
      <w:r>
        <w:rPr>
          <w:rFonts w:ascii="Microsoft YaHei" w:hAnsi="Microsoft YaHei"/>
        </w:rPr>
        <w:t xml:space="preserve"> 均跑赢大盘，板块排名分别为 </w:t>
      </w:r>
      <w:r>
        <w:rPr>
          <w:rFonts w:ascii="Microsoft YaHei" w:hAnsi="Microsoft YaHei"/>
          <w:b/>
          <w:color w:val="1A1A1A"/>
        </w:rPr>
        <w:t>137/1158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163/1158</w:t>
      </w:r>
      <w:r>
        <w:rPr>
          <w:rFonts w:ascii="Microsoft YaHei" w:hAnsi="Microsoft YaHei"/>
        </w:rPr>
        <w:t>，表现位居中上游。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/ 昨收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5.22</w:t>
            </w:r>
            <w:r>
              <w:rPr>
                <w:rFonts w:ascii="Microsoft YaHei" w:hAnsi="Microsoft YaHei"/>
                <w:sz w:val="18"/>
              </w:rPr>
              <w:t xml:space="preserve"> / 5.17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小幅高开后震荡走高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温和上涨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日内波动有限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720,720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37,518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较前一交易日（0.19%）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放量约61%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交投正常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7.58 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低估值水平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0.84 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破净状态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1,215.21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大市值蓝筹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今日换手率较昨日放大 1.61 倍，量能明显回暖，显示资金关注度有所提升。</w:t>
      </w:r>
    </w:p>
    <w:p>
      <w:pPr>
        <w:pStyle w:val="ListBullet"/>
      </w:pPr>
      <w:r>
        <w:rPr>
          <w:rFonts w:ascii="Microsoft YaHei" w:hAnsi="Microsoft YaHei"/>
        </w:rPr>
        <w:t xml:space="preserve">动态 PE </w:t>
      </w:r>
      <w:r>
        <w:rPr>
          <w:rFonts w:ascii="Microsoft YaHei" w:hAnsi="Microsoft YaHei"/>
          <w:b/>
          <w:color w:val="1A1A1A"/>
        </w:rPr>
        <w:t>7.58 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0.84 倍</w:t>
      </w:r>
      <w:r>
        <w:rPr>
          <w:rFonts w:ascii="Microsoft YaHei" w:hAnsi="Microsoft YaHei"/>
        </w:rPr>
        <w:t>，估值处于历史低位区间，安全边际较高。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377,085 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343,635 手</w:t>
      </w:r>
      <w:r>
        <w:rPr>
          <w:rFonts w:ascii="Microsoft YaHei" w:hAnsi="Microsoft YaHei"/>
        </w:rPr>
        <w:t>，主动性买盘略占优势，盘中承接意愿较强。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904.71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118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416.2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901.9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-809.1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3,622.5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4,431.7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-589.3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4,567.7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5,157.0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+493.8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3,039.6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2,545.8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-904.7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6.00 亿</w:t>
      </w:r>
      <w:r>
        <w:rPr>
          <w:rFonts w:ascii="Microsoft YaHei" w:hAnsi="Microsoft YaHei"/>
        </w:rPr>
        <w:t xml:space="preserve">（较前日 +0.09%），占流通市值 </w:t>
      </w:r>
      <w:r>
        <w:rPr>
          <w:rFonts w:ascii="Microsoft YaHei" w:hAnsi="Microsoft YaHei"/>
          <w:b/>
          <w:color w:val="1A1A1A"/>
        </w:rPr>
        <w:t>0.50%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40% 分位</w:t>
      </w:r>
      <w:r>
        <w:rPr>
          <w:rFonts w:ascii="Microsoft YaHei" w:hAnsi="Microsoft YaHei"/>
        </w:rPr>
        <w:t>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0.01 亿</w:t>
      </w:r>
      <w:r>
        <w:rPr>
          <w:rFonts w:ascii="Microsoft YaHei" w:hAnsi="Microsoft YaHei"/>
        </w:rPr>
        <w:t>（较前日 -1.74%）</w:t>
      </w:r>
    </w:p>
    <w:p>
      <w:r>
        <w:rPr>
          <w:rFonts w:ascii="Microsoft YaHei" w:hAnsi="Microsoft YaHei"/>
          <w:b/>
          <w:color w:val="1A1A1A"/>
        </w:rPr>
        <w:t>资金面研判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今日盘中资金呈净流出状态，最大单分钟流出规模（901.9 万）远超最大单分钟流入（416.2 万），说明盘中存在集中抛压。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上一交易日大单与中单双双净流出，仅小单净流入，显示 </w:t>
      </w:r>
      <w:r>
        <w:rPr>
          <w:rFonts w:ascii="Microsoft YaHei" w:hAnsi="Microsoft YaHei"/>
          <w:b/>
          <w:color w:val="1A1A1A"/>
        </w:rPr>
        <w:t>主力资金仍在减仓，散户资金接盘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融资余额维持平稳（6.00 亿），且处于近一年 40% 分位以下，杠杆资金参与度不高，做多情绪偏谨慎。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5.22 元</w:t>
      </w:r>
      <w:r>
        <w:rPr>
          <w:rFonts w:ascii="Microsoft YaHei" w:hAnsi="Microsoft YaHei"/>
        </w:rPr>
        <w:t xml:space="preserve"> 站稳 MA5（5.12）、MA10（5.07）和 MA20（4.92）上方，短中期均线呈多头排列。</w:t>
      </w:r>
    </w:p>
    <w:p>
      <w:pPr>
        <w:pStyle w:val="ListBullet"/>
      </w:pPr>
      <w:r>
        <w:rPr>
          <w:rFonts w:ascii="Microsoft YaHei" w:hAnsi="Microsoft YaHei"/>
        </w:rPr>
        <w:t xml:space="preserve">股价距离布林带上轨 </w:t>
      </w:r>
      <w:r>
        <w:rPr>
          <w:rFonts w:ascii="Microsoft YaHei" w:hAnsi="Microsoft YaHei"/>
          <w:b/>
          <w:color w:val="1A1A1A"/>
        </w:rPr>
        <w:t>5.28 元</w:t>
      </w:r>
      <w:r>
        <w:rPr>
          <w:rFonts w:ascii="Microsoft YaHei" w:hAnsi="Microsoft YaHei"/>
        </w:rPr>
        <w:t xml:space="preserve">仅差 </w:t>
      </w:r>
      <w:r>
        <w:rPr>
          <w:rFonts w:ascii="Microsoft YaHei" w:hAnsi="Microsoft YaHei"/>
          <w:b/>
          <w:color w:val="1A1A1A"/>
        </w:rPr>
        <w:t>1.15%</w:t>
      </w:r>
      <w:r>
        <w:rPr>
          <w:rFonts w:ascii="Microsoft YaHei" w:hAnsi="Microsoft YaHei"/>
        </w:rPr>
        <w:t>，若午后放量上攻，有可能试探上轨压力。</w:t>
      </w:r>
    </w:p>
    <w:p>
      <w:pPr>
        <w:pStyle w:val="ListBullet"/>
      </w:pPr>
      <w:r>
        <w:rPr>
          <w:rFonts w:ascii="Microsoft YaHei" w:hAnsi="Microsoft YaHei"/>
        </w:rPr>
        <w:t>布林带宽度（上轨 5.28 - 下轨 4.56 = 0.72 元），带宽处于中性水平，尚未出现明显扩张或收敛信号。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：股价已处于布林带偏上轨区域，短期存在技术性回踩压力。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相关新闻摘要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7/28 15:00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上港集团涨0.39%，成交额2.34亿元，近5日主力净流入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-3,235.50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前期主力持续流出，偏空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7/27 07:55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融资买入1,426.36万元，融资余额6.00亿，占流通市值0.50%，低于近一年40%分位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融资盘参与度低，中性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7/27 08:24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早间新闻精选（关键词匹配：港口）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见下方分析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关键资讯解读</w:t>
      </w:r>
    </w:p>
    <w:p>
      <w:r>
        <w:rPr>
          <w:rFonts w:ascii="Microsoft YaHei" w:hAnsi="Microsoft YaHei"/>
          <w:b/>
          <w:color w:val="1A1A1A"/>
        </w:rPr>
        <w:t>地缘政治因素（早间新闻第19条）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也门胡塞武装对沙特位于红海的港口城市发射导弹，沙特联军随后空袭胡塞武装阵地。</w:t>
      </w:r>
    </w:p>
    <w:p>
      <w:pPr>
        <w:pStyle w:val="ListBullet"/>
      </w:pPr>
      <w:r>
        <w:rPr>
          <w:rFonts w:ascii="Microsoft YaHei" w:hAnsi="Microsoft YaHei"/>
        </w:rPr>
        <w:t>伊朗与阿曼就霍尔木兹海峡这一关键航道举行会谈。</w:t>
      </w:r>
    </w:p>
    <w:p>
      <w:r>
        <w:rPr>
          <w:rFonts w:ascii="Microsoft YaHei" w:hAnsi="Microsoft YaHei"/>
        </w:rPr>
        <w:t xml:space="preserve">红海及霍尔木兹海峡的局势紧张，可能对全球航运通行效率产生影响，理论上利好具备 </w:t>
      </w:r>
      <w:r>
        <w:rPr>
          <w:rFonts w:ascii="Microsoft YaHei" w:hAnsi="Microsoft YaHei"/>
          <w:b/>
          <w:color w:val="1A1A1A"/>
        </w:rPr>
        <w:t>航线替代效应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战略枢纽地位</w:t>
      </w:r>
      <w:r>
        <w:rPr>
          <w:rFonts w:ascii="Microsoft YaHei" w:hAnsi="Microsoft YaHei"/>
        </w:rPr>
        <w:t xml:space="preserve"> 的港口企业。上港集团作为 </w:t>
      </w:r>
      <w:r>
        <w:rPr>
          <w:rFonts w:ascii="Microsoft YaHei" w:hAnsi="Microsoft YaHei"/>
          <w:b/>
          <w:color w:val="1A1A1A"/>
        </w:rPr>
        <w:t>全球第一大集装箱港口</w:t>
      </w:r>
      <w:r>
        <w:rPr>
          <w:rFonts w:ascii="Microsoft YaHei" w:hAnsi="Microsoft YaHei"/>
        </w:rPr>
        <w:t xml:space="preserve"> 的运营主体，具备较强的抗风险能力。</w:t>
      </w:r>
    </w:p>
    <w:p>
      <w:r>
        <w:rPr>
          <w:rFonts w:ascii="Microsoft YaHei" w:hAnsi="Microsoft YaHei"/>
          <w:b/>
          <w:color w:val="1A1A1A"/>
        </w:rPr>
        <w:t>整体新闻环境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早间新闻中涉及长鑫科技科创板 IPO（巨额融资抽水效应）、方星海被调查（监管收紧信号）、美联储利率决议在即等宏观因素，整体偏中性，市场需要消化多重信息。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25/47（中上）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板块整体走强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海港与服务（A股）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11/19（中游）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板块温和上涨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51/121（中游）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板块微涨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148/197（偏后）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大盘权重股强势，但该股弹性偏弱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板块内对比</w:t>
      </w:r>
      <w:r>
        <w:rPr>
          <w:rFonts w:ascii="Microsoft YaHei" w:hAnsi="Microsoft YaHei"/>
        </w:rPr>
        <w:t>：同板块中，招商港口（+3.18%）、辽港股份（+2.80%）、唐山港（+2.01%）涨幅领先，上港集团（+0.97%）涨幅处于板块中后段，弹性相对不足。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  <w:b/>
          <w:color w:val="1A1A1A"/>
        </w:rPr>
        <w:t>偏多因素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估值安全垫充足</w:t>
      </w:r>
      <w:r>
        <w:rPr>
          <w:rFonts w:ascii="Microsoft YaHei" w:hAnsi="Microsoft YaHei"/>
        </w:rPr>
        <w:t xml:space="preserve"> — PE 7.58 倍、PB 0.84 倍（破净），处于历史低位区间，蓝筹属性提供下行保护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均线多头排列</w:t>
      </w:r>
      <w:r>
        <w:rPr>
          <w:rFonts w:ascii="Microsoft YaHei" w:hAnsi="Microsoft YaHei"/>
        </w:rPr>
        <w:t xml:space="preserve"> — 股价站稳 MA5/MA10/MA20，短期趋势向好，且距离布林带上轨尚有空间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</w:t>
      </w:r>
      <w:r>
        <w:rPr>
          <w:rFonts w:ascii="Microsoft YaHei" w:hAnsi="Microsoft YaHei"/>
        </w:rPr>
        <w:t xml:space="preserve"> — 交通基建与港口板块今日跑赢大盘，板块热度对个股形成支撑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量能放大</w:t>
      </w:r>
      <w:r>
        <w:rPr>
          <w:rFonts w:ascii="Microsoft YaHei" w:hAnsi="Microsoft YaHei"/>
        </w:rPr>
        <w:t xml:space="preserve"> — 换手率较昨日放大 61%，资金参与度提升</w:t>
      </w:r>
    </w:p>
    <w:p>
      <w:r>
        <w:rPr>
          <w:rFonts w:ascii="Microsoft YaHei" w:hAnsi="Microsoft YaHei"/>
          <w:b/>
          <w:color w:val="1A1A1A"/>
        </w:rPr>
        <w:t>偏空/谨慎因素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主力持续流出</w:t>
      </w:r>
      <w:r>
        <w:rPr>
          <w:rFonts w:ascii="Microsoft YaHei" w:hAnsi="Microsoft YaHei"/>
        </w:rPr>
        <w:t xml:space="preserve"> — 近 5 日主力净流入 -3,235.50 万，大单+中单连续净流出，小单承接为主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融资参与度低</w:t>
      </w:r>
      <w:r>
        <w:rPr>
          <w:rFonts w:ascii="Microsoft YaHei" w:hAnsi="Microsoft YaHei"/>
        </w:rPr>
        <w:t xml:space="preserve"> — 融资余额 6.00 亿处于近一年 40% 分位以下，杠杆资金观望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板块内弹性偏弱</w:t>
      </w:r>
      <w:r>
        <w:rPr>
          <w:rFonts w:ascii="Microsoft YaHei" w:hAnsi="Microsoft YaHei"/>
        </w:rPr>
        <w:t xml:space="preserve"> — 在港口板块中排名中后段，缺乏领涨动能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技术面靠近上轨</w:t>
      </w:r>
      <w:r>
        <w:rPr>
          <w:rFonts w:ascii="Microsoft YaHei" w:hAnsi="Microsoft YaHei"/>
        </w:rPr>
        <w:t xml:space="preserve"> — 距布林带上轨仅 1.15%，短期存在技术性回踩压力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能否突破 </w:t>
      </w:r>
      <w:r>
        <w:rPr>
          <w:rFonts w:ascii="Microsoft YaHei" w:hAnsi="Microsoft YaHei"/>
          <w:b/>
          <w:color w:val="1A1A1A"/>
        </w:rPr>
        <w:t>5.24 元</w:t>
      </w:r>
      <w:r>
        <w:rPr>
          <w:rFonts w:ascii="Microsoft YaHei" w:hAnsi="Microsoft YaHei"/>
        </w:rPr>
        <w:t xml:space="preserve">（上午高点）并朝布林带上轨 </w:t>
      </w:r>
      <w:r>
        <w:rPr>
          <w:rFonts w:ascii="Microsoft YaHei" w:hAnsi="Microsoft YaHei"/>
          <w:b/>
          <w:color w:val="1A1A1A"/>
        </w:rPr>
        <w:t>5.28 元</w:t>
      </w:r>
      <w:r>
        <w:rPr>
          <w:rFonts w:ascii="Microsoft YaHei" w:hAnsi="Microsoft YaHei"/>
        </w:rPr>
        <w:t xml:space="preserve"> 发起冲击</w:t>
      </w:r>
    </w:p>
    <w:p>
      <w:pPr>
        <w:pStyle w:val="ListBullet"/>
      </w:pPr>
      <w:r>
        <w:rPr>
          <w:rFonts w:ascii="Microsoft YaHei" w:hAnsi="Microsoft YaHei"/>
        </w:rPr>
        <w:t>量能能否持续放大（当前量比仅 1.02，尚未显著放量）</w:t>
      </w:r>
    </w:p>
    <w:p>
      <w:pPr>
        <w:pStyle w:val="ListBullet"/>
      </w:pPr>
      <w:r>
        <w:rPr>
          <w:rFonts w:ascii="Microsoft YaHei" w:hAnsi="Microsoft YaHei"/>
        </w:rPr>
        <w:t>资金流向是否出现逆转（大单能否从净流出转为净流入）</w:t>
      </w:r>
    </w:p>
    <w:p>
      <w:pPr>
        <w:pStyle w:val="ListBullet"/>
      </w:pPr>
      <w:r>
        <w:rPr>
          <w:rFonts w:ascii="Microsoft YaHei" w:hAnsi="Microsoft YaHei"/>
        </w:rPr>
        <w:t xml:space="preserve">若午后冲高回落至 </w:t>
      </w:r>
      <w:r>
        <w:rPr>
          <w:rFonts w:ascii="Microsoft YaHei" w:hAnsi="Microsoft YaHei"/>
          <w:b/>
          <w:color w:val="1A1A1A"/>
        </w:rPr>
        <w:t>5.15-5.18 元</w:t>
      </w:r>
      <w:r>
        <w:rPr>
          <w:rFonts w:ascii="Microsoft YaHei" w:hAnsi="Microsoft YaHei"/>
        </w:rPr>
        <w:t>区间，则短期面临回调压力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：以上分析仅基于公开数据和客观指标，不构成投资建议。市场有风险，投资需谨慎。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上港集团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