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中国中铁（601390.SH）午间分析报告</w:t>
      </w:r>
    </w:p>
    <w:p>
      <w:r>
        <w:rPr>
          <w:rFonts w:ascii="Microsoft YaHei" w:hAnsi="Microsoft YaHei"/>
          <w:b/>
          <w:color w:val="1A1A1A"/>
        </w:rPr>
        <w:t>数据截止：2026-07-28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今日全市场情绪偏中性。午间收盘上涨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家、下跌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68</w:t>
      </w:r>
      <w:r>
        <w:rPr>
          <w:rFonts w:ascii="Microsoft YaHei" w:hAnsi="Microsoft YaHei"/>
        </w:rPr>
        <w:t xml:space="preserve"> 只、跌停 </w:t>
      </w:r>
      <w:r>
        <w:rPr>
          <w:rFonts w:ascii="Microsoft YaHei" w:hAnsi="Microsoft YaHei"/>
          <w:b/>
          <w:color w:val="1A1A1A"/>
        </w:rPr>
        <w:t>50</w:t>
      </w:r>
      <w:r>
        <w:rPr>
          <w:rFonts w:ascii="Microsoft YaHei" w:hAnsi="Microsoft YaHei"/>
        </w:rPr>
        <w:t xml:space="preserve"> 只，市场热度评分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（较上一日缩量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），整体量能有所回落。</w:t>
      </w:r>
    </w:p>
    <w:p>
      <w:r>
        <w:rPr>
          <w:rFonts w:ascii="Microsoft YaHei" w:hAnsi="Microsoft YaHei"/>
        </w:rPr>
        <w:t>在此背景下，中国中铁表现出明显的</w:t>
      </w:r>
      <w:r>
        <w:rPr>
          <w:rFonts w:ascii="Microsoft YaHei" w:hAnsi="Microsoft YaHei"/>
          <w:b/>
          <w:color w:val="1A1A1A"/>
        </w:rPr>
        <w:t>逆势走强</w:t>
      </w:r>
      <w:r>
        <w:rPr>
          <w:rFonts w:ascii="Microsoft YaHei" w:hAnsi="Microsoft YaHei"/>
        </w:rPr>
        <w:t xml:space="preserve">特征，午间收盘报 </w:t>
      </w:r>
      <w:r>
        <w:rPr>
          <w:rFonts w:ascii="Microsoft YaHei" w:hAnsi="Microsoft YaHei"/>
          <w:b/>
          <w:color w:val="1A1A1A"/>
        </w:rPr>
        <w:t>4.53元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>，远强于全市场平均水平。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4.43 / 4.43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4.55 / 4.43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169.09万手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7.61亿元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6.37倍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0.35倍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1,111.27亿元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920.67亿元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0.83%</w:t>
      </w:r>
      <w:r>
        <w:rPr>
          <w:rFonts w:ascii="Microsoft YaHei" w:hAnsi="Microsoft YaHei"/>
        </w:rPr>
        <w:t xml:space="preserve">，已超过上一交易日全日换手率 </w:t>
      </w:r>
      <w:r>
        <w:rPr>
          <w:rFonts w:ascii="Microsoft YaHei" w:hAnsi="Microsoft YaHei"/>
          <w:b/>
          <w:color w:val="1A1A1A"/>
        </w:rPr>
        <w:t>0.56%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1.35</w:t>
      </w:r>
      <w:r>
        <w:rPr>
          <w:rFonts w:ascii="Microsoft YaHei" w:hAnsi="Microsoft YaHei"/>
        </w:rPr>
        <w:t>，量价配合良好。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估值极低</w:t>
      </w:r>
      <w:r>
        <w:rPr>
          <w:rFonts w:ascii="Microsoft YaHei" w:hAnsi="Microsoft YaHei"/>
        </w:rPr>
        <w:t xml:space="preserve">：动态PE仅 </w:t>
      </w:r>
      <w:r>
        <w:rPr>
          <w:rFonts w:ascii="Microsoft YaHei" w:hAnsi="Microsoft YaHei"/>
          <w:b/>
          <w:color w:val="1A1A1A"/>
        </w:rPr>
        <w:t>6.37倍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0.35倍</w:t>
      </w:r>
      <w:r>
        <w:rPr>
          <w:rFonts w:ascii="Microsoft YaHei" w:hAnsi="Microsoft YaHei"/>
        </w:rPr>
        <w:t>，处于历史底部区域，具备较高的安全边际。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外盘大于内盘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94.97万手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74.13万手</w:t>
      </w:r>
      <w:r>
        <w:rPr>
          <w:rFonts w:ascii="Microsoft YaHei" w:hAnsi="Microsoft YaHei"/>
        </w:rPr>
        <w:t>，买盘主动性占优，显示资金主动做多意愿较强。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7,089.29万元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139分钟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99分钟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1,601.8万元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711.0万元</w:t>
            </w:r>
          </w:p>
        </w:tc>
      </w:tr>
    </w:tbl>
    <w:p/>
    <w:p>
      <w:r>
        <w:rPr>
          <w:rFonts w:ascii="Microsoft YaHei" w:hAnsi="Microsoft YaHei"/>
        </w:rPr>
        <w:t xml:space="preserve">资金流入时长占比 </w:t>
      </w:r>
      <w:r>
        <w:rPr>
          <w:rFonts w:ascii="Microsoft YaHei" w:hAnsi="Microsoft YaHei"/>
          <w:b/>
          <w:color w:val="1A1A1A"/>
        </w:rPr>
        <w:t>58.4%</w:t>
      </w:r>
      <w:r>
        <w:rPr>
          <w:rFonts w:ascii="Microsoft YaHei" w:hAnsi="Microsoft YaHei"/>
        </w:rPr>
        <w:t xml:space="preserve">，最大单分钟流入量（1,601.8万）是最大流出量（711.0万）的 </w:t>
      </w:r>
      <w:r>
        <w:rPr>
          <w:rFonts w:ascii="Microsoft YaHei" w:hAnsi="Microsoft YaHei"/>
          <w:b/>
          <w:color w:val="1A1A1A"/>
        </w:rPr>
        <w:t>2.25倍</w:t>
      </w:r>
      <w:r>
        <w:rPr>
          <w:rFonts w:ascii="Microsoft YaHei" w:hAnsi="Microsoft YaHei"/>
        </w:rPr>
        <w:t>，资金情绪明显偏向多头。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+21,264,837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80,621,995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59,357,158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+30,456,710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81,336,844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50,880,134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+19,171,380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61,558,013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42,386,633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+70,892,927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三大层级全线净流入</w:t>
      </w:r>
      <w:r>
        <w:rPr>
          <w:rFonts w:ascii="Microsoft YaHei" w:hAnsi="Microsoft YaHei"/>
        </w:rPr>
        <w:t>，其中</w:t>
      </w:r>
      <w:r>
        <w:rPr>
          <w:rFonts w:ascii="Microsoft YaHei" w:hAnsi="Microsoft YaHei"/>
          <w:b/>
          <w:color w:val="1A1A1A"/>
        </w:rPr>
        <w:t>中单净流入规模最大</w:t>
      </w:r>
      <w:r>
        <w:rPr>
          <w:rFonts w:ascii="Microsoft YaHei" w:hAnsi="Microsoft YaHei"/>
        </w:rPr>
        <w:t>（3045.67万），大单紧随其后（2126.48万），呈现各类型资金合力做多的格局。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29.42亿元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-0.39%（较前日）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0.07亿元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-1.06%（较前日）</w:t>
            </w:r>
          </w:p>
        </w:tc>
      </w:tr>
    </w:tbl>
    <w:p/>
    <w:p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3.20%</w:t>
      </w:r>
      <w:r>
        <w:rPr>
          <w:rFonts w:ascii="Microsoft YaHei" w:hAnsi="Microsoft YaHei"/>
        </w:rPr>
        <w:t>，超过近一年50%分位水平。融资余额小幅下降，但整体规模仍处于相对高位，杠杆资金对后市预期并不悲观。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MA5（约4.53元）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MA10（约4.45元）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MA20/布林中轨（约4.34元）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4.08元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技术形态研判：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短期均线系统呈多头排列</w:t>
      </w:r>
      <w:r>
        <w:rPr>
          <w:rFonts w:ascii="Microsoft YaHei" w:hAnsi="Microsoft YaHei"/>
        </w:rPr>
        <w:t>：股价已站稳 MA10（4.45）和 MA20（4.34），且 MA5 与当前价基本重合（4.53），短期成本支撑有效。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布林带开口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4.53</w:t>
      </w:r>
      <w:r>
        <w:rPr>
          <w:rFonts w:ascii="Microsoft YaHei" w:hAnsi="Microsoft YaHei"/>
        </w:rPr>
        <w:t xml:space="preserve"> 距离布林上轨 </w:t>
      </w:r>
      <w:r>
        <w:rPr>
          <w:rFonts w:ascii="Microsoft YaHei" w:hAnsi="Microsoft YaHei"/>
          <w:b/>
          <w:color w:val="1A1A1A"/>
        </w:rPr>
        <w:t>4.60</w:t>
      </w:r>
      <w:r>
        <w:rPr>
          <w:rFonts w:ascii="Microsoft YaHei" w:hAnsi="Microsoft YaHei"/>
        </w:rPr>
        <w:t xml:space="preserve"> 仅剩 </w:t>
      </w:r>
      <w:r>
        <w:rPr>
          <w:rFonts w:ascii="Microsoft YaHei" w:hAnsi="Microsoft YaHei"/>
          <w:b/>
          <w:color w:val="1A1A1A"/>
        </w:rPr>
        <w:t>1.5%</w:t>
      </w:r>
      <w:r>
        <w:rPr>
          <w:rFonts w:ascii="Microsoft YaHei" w:hAnsi="Microsoft YaHei"/>
        </w:rPr>
        <w:t xml:space="preserve"> 空间，若午后继续上攻，将面临上轨压力考验。突破上轨则有望打开上行空间。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偏离度安全</w:t>
      </w:r>
      <w:r>
        <w:rPr>
          <w:rFonts w:ascii="Microsoft YaHei" w:hAnsi="Microsoft YaHei"/>
        </w:rPr>
        <w:t xml:space="preserve">：相较 MA20 偏离 </w:t>
      </w:r>
      <w:r>
        <w:rPr>
          <w:rFonts w:ascii="Microsoft YaHei" w:hAnsi="Microsoft YaHei"/>
          <w:b/>
          <w:color w:val="1A1A1A"/>
        </w:rPr>
        <w:t>+4.4%</w:t>
      </w:r>
      <w:r>
        <w:rPr>
          <w:rFonts w:ascii="Microsoft YaHei" w:hAnsi="Microsoft YaHei"/>
        </w:rPr>
        <w:t>，尚未进入过热区间（通常 &gt;8% 视为短线过热），反弹动能仍有释放空间。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中铁置业：以专业输出重塑代建价值（2026-07-28 09:16）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性质</w:t>
      </w:r>
      <w:r>
        <w:rPr>
          <w:rFonts w:ascii="Microsoft YaHei" w:hAnsi="Microsoft YaHei"/>
        </w:rPr>
        <w:t>：正面 / 业务动态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>：中铁置业为中国中铁旗下房地产板块核心子公司，该报道聚焦于公司代建业务的能力输出与模式升级。在当前基建与地产市场结构性调整的背景下，代建业务轻资产、高周转的特点有助于提升利润率和资产回报率，对公司整体估值有正向提振作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融资数据公告（2026-07-28 08:03）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内容</w:t>
      </w:r>
      <w:r>
        <w:rPr>
          <w:rFonts w:ascii="Microsoft YaHei" w:hAnsi="Microsoft YaHei"/>
        </w:rPr>
        <w:t xml:space="preserve">：7月27日获融资买入 </w:t>
      </w:r>
      <w:r>
        <w:rPr>
          <w:rFonts w:ascii="Microsoft YaHei" w:hAnsi="Microsoft YaHei"/>
          <w:b/>
          <w:color w:val="1A1A1A"/>
        </w:rPr>
        <w:t>3,288.66万元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29.42亿元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 xml:space="preserve">：单日融资买入额中等偏上，融资余额占流通市值 </w:t>
      </w:r>
      <w:r>
        <w:rPr>
          <w:rFonts w:ascii="Microsoft YaHei" w:hAnsi="Microsoft YaHei"/>
          <w:b/>
          <w:color w:val="1A1A1A"/>
        </w:rPr>
        <w:t>3.20%</w:t>
      </w:r>
      <w:r>
        <w:rPr>
          <w:rFonts w:ascii="Microsoft YaHei" w:hAnsi="Microsoft YaHei"/>
        </w:rPr>
        <w:t>，高于近一年中位数水平，表明融资客对该股关注度较高。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宏观与行业快讯</w:t>
      </w:r>
    </w:p>
    <w:p>
      <w:pPr>
        <w:pStyle w:val="ListBullet"/>
      </w:pPr>
      <w:r>
        <w:rPr>
          <w:rFonts w:ascii="Microsoft YaHei" w:hAnsi="Microsoft YaHei"/>
        </w:rPr>
        <w:t xml:space="preserve">早间新闻精选中提及 </w:t>
      </w:r>
      <w:r>
        <w:rPr>
          <w:rFonts w:ascii="Microsoft YaHei" w:hAnsi="Microsoft YaHei"/>
          <w:b/>
          <w:color w:val="1A1A1A"/>
        </w:rPr>
        <w:t>长鑫科技今日登陆科创板</w:t>
      </w:r>
      <w:r>
        <w:rPr>
          <w:rFonts w:ascii="Microsoft YaHei" w:hAnsi="Microsoft YaHei"/>
        </w:rPr>
        <w:t>（募资约579亿元，科创板史上最大IPO），对市场流动性形成一定虹吸效应；但中铁今日依旧录得资金净流入，显示其自身驱动力较强。</w:t>
      </w:r>
    </w:p>
    <w:p>
      <w:pPr>
        <w:pStyle w:val="ListBullet"/>
      </w:pPr>
      <w:r>
        <w:rPr>
          <w:rFonts w:ascii="Microsoft YaHei" w:hAnsi="Microsoft YaHei"/>
        </w:rPr>
        <w:t>国际原油价格大幅波动（WTI一度跌超6%），对交通运输、基建成本端构成利好；</w:t>
      </w:r>
      <w:r>
        <w:rPr>
          <w:rFonts w:ascii="Microsoft YaHei" w:hAnsi="Microsoft YaHei"/>
          <w:b/>
          <w:color w:val="1A1A1A"/>
        </w:rPr>
        <w:t>有色金属、矿产</w:t>
      </w:r>
      <w:r>
        <w:rPr>
          <w:rFonts w:ascii="Microsoft YaHei" w:hAnsi="Microsoft YaHei"/>
        </w:rPr>
        <w:t>等关键词与公司业务范畴相关，大宗商品价格波动对工程成本端影响需持续关注。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168/319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略强于板块均值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104/197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持平板块均值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-1.64%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565/1158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125/744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明显强于板块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-2.77%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133/1209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显著逆势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建筑与工程Ⅲ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-2.93%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802/1158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11/108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大幅领先板块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关键发现：</w:t>
      </w:r>
    </w:p>
    <w:p>
      <w:r>
        <w:rPr>
          <w:rFonts w:ascii="Microsoft YaHei" w:hAnsi="Microsoft YaHei"/>
        </w:rPr>
        <w:t xml:space="preserve">中国中铁今日在所属板块中表现极为突出。建筑与工程Ⅲ板块整体下跌 </w:t>
      </w:r>
      <w:r>
        <w:rPr>
          <w:rFonts w:ascii="Microsoft YaHei" w:hAnsi="Microsoft YaHei"/>
          <w:b/>
          <w:color w:val="1A1A1A"/>
        </w:rPr>
        <w:t>-2.93%</w:t>
      </w:r>
      <w:r>
        <w:rPr>
          <w:rFonts w:ascii="Microsoft YaHei" w:hAnsi="Microsoft YaHei"/>
        </w:rPr>
        <w:t xml:space="preserve">，在1158个概念/行业板块中排名靠后（802位），但中铁逆势上涨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 xml:space="preserve">，在板块108只成分股中排名 </w:t>
      </w:r>
      <w:r>
        <w:rPr>
          <w:rFonts w:ascii="Microsoft YaHei" w:hAnsi="Microsoft YaHei"/>
          <w:b/>
          <w:color w:val="1A1A1A"/>
        </w:rPr>
        <w:t>第11位</w:t>
      </w:r>
      <w:r>
        <w:rPr>
          <w:rFonts w:ascii="Microsoft YaHei" w:hAnsi="Microsoft YaHei"/>
        </w:rPr>
        <w:t>，属于板块内的</w:t>
      </w:r>
      <w:r>
        <w:rPr>
          <w:rFonts w:ascii="Microsoft YaHei" w:hAnsi="Microsoft YaHei"/>
          <w:b/>
          <w:color w:val="1A1A1A"/>
        </w:rPr>
        <w:t>领涨龙头</w:t>
      </w:r>
      <w:r>
        <w:rPr>
          <w:rFonts w:ascii="Microsoft YaHei" w:hAnsi="Microsoft YaHei"/>
        </w:rPr>
        <w:t>之一（仅次于 *ST中岩、中油工程、四川路桥 等小市值标的）。</w:t>
      </w:r>
    </w:p>
    <w:p>
      <w:r>
        <w:rPr>
          <w:rFonts w:ascii="Microsoft YaHei" w:hAnsi="Microsoft YaHei"/>
        </w:rPr>
        <w:t xml:space="preserve">一带一路概念板块同样下跌 </w:t>
      </w:r>
      <w:r>
        <w:rPr>
          <w:rFonts w:ascii="Microsoft YaHei" w:hAnsi="Microsoft YaHei"/>
          <w:b/>
          <w:color w:val="1A1A1A"/>
        </w:rPr>
        <w:t>-1.64%</w:t>
      </w:r>
      <w:r>
        <w:rPr>
          <w:rFonts w:ascii="Microsoft YaHei" w:hAnsi="Microsoft YaHei"/>
        </w:rPr>
        <w:t xml:space="preserve">，中铁在其744只成分股中排名 </w:t>
      </w:r>
      <w:r>
        <w:rPr>
          <w:rFonts w:ascii="Microsoft YaHei" w:hAnsi="Microsoft YaHei"/>
          <w:b/>
          <w:color w:val="1A1A1A"/>
        </w:rPr>
        <w:t>125位</w:t>
      </w:r>
      <w:r>
        <w:rPr>
          <w:rFonts w:ascii="Microsoft YaHei" w:hAnsi="Microsoft YaHei"/>
        </w:rPr>
        <w:t>，远超板块均值。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放量上攻，量比1.35，外盘&gt;内盘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半日净流入7089万元，大/中/小单全线净流入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站上MA10/MA20，距上轨4.60仅1.5%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6.37倍 / PB 0.35倍，历史底部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安全边际高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所属板块普跌，个股逆势领涨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相对强势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融资情绪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融资余额29.42亿，占比3.20%，处中高位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新闻催化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子公司代建业务正面报道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>中国中铁今日午间呈现</w:t>
      </w:r>
      <w:r>
        <w:rPr>
          <w:rFonts w:ascii="Microsoft YaHei" w:hAnsi="Microsoft YaHei"/>
          <w:b/>
          <w:color w:val="1A1A1A"/>
        </w:rPr>
        <w:t>典型的放量突破走势</w:t>
      </w:r>
      <w:r>
        <w:rPr>
          <w:rFonts w:ascii="Microsoft YaHei" w:hAnsi="Microsoft YaHei"/>
        </w:rPr>
        <w:t xml:space="preserve">。在全市场情绪中性偏弱、所属建筑板块整体下跌近 </w:t>
      </w:r>
      <w:r>
        <w:rPr>
          <w:rFonts w:ascii="Microsoft YaHei" w:hAnsi="Microsoft YaHei"/>
          <w:b/>
          <w:color w:val="1A1A1A"/>
        </w:rPr>
        <w:t>-3%</w:t>
      </w:r>
      <w:r>
        <w:rPr>
          <w:rFonts w:ascii="Microsoft YaHei" w:hAnsi="Microsoft YaHei"/>
        </w:rPr>
        <w:t xml:space="preserve"> 的背景下，个股逆势上涨 </w:t>
      </w:r>
      <w:r>
        <w:rPr>
          <w:rFonts w:ascii="Microsoft YaHei" w:hAnsi="Microsoft YaHei"/>
          <w:b/>
          <w:color w:val="1A1A1A"/>
        </w:rPr>
        <w:t>+2.26%</w:t>
      </w:r>
      <w:r>
        <w:rPr>
          <w:rFonts w:ascii="Microsoft YaHei" w:hAnsi="Microsoft YaHei"/>
        </w:rPr>
        <w:t xml:space="preserve">，半日成交额已达 </w:t>
      </w:r>
      <w:r>
        <w:rPr>
          <w:rFonts w:ascii="Microsoft YaHei" w:hAnsi="Microsoft YaHei"/>
          <w:b/>
          <w:color w:val="1A1A1A"/>
        </w:rPr>
        <w:t>7.61亿元</w:t>
      </w:r>
      <w:r>
        <w:rPr>
          <w:rFonts w:ascii="Microsoft YaHei" w:hAnsi="Microsoft YaHei"/>
        </w:rPr>
        <w:t xml:space="preserve">，量能显著放大。资金面上各层级（大单、中单、小单）均呈净流入状态，合计净流入超 </w:t>
      </w:r>
      <w:r>
        <w:rPr>
          <w:rFonts w:ascii="Microsoft YaHei" w:hAnsi="Microsoft YaHei"/>
          <w:b/>
          <w:color w:val="1A1A1A"/>
        </w:rPr>
        <w:t>7,089万元</w:t>
      </w:r>
      <w:r>
        <w:rPr>
          <w:rFonts w:ascii="Microsoft YaHei" w:hAnsi="Microsoft YaHei"/>
        </w:rPr>
        <w:t>，主动性买盘占据主导。</w:t>
      </w:r>
    </w:p>
    <w:p>
      <w:r>
        <w:rPr>
          <w:rFonts w:ascii="Microsoft YaHei" w:hAnsi="Microsoft YaHei"/>
        </w:rPr>
        <w:t>从估值角度看，</w:t>
      </w:r>
      <w:r>
        <w:rPr>
          <w:rFonts w:ascii="Microsoft YaHei" w:hAnsi="Microsoft YaHei"/>
          <w:b/>
          <w:color w:val="1A1A1A"/>
        </w:rPr>
        <w:t>PE 6.37倍、PB 0.35倍</w:t>
      </w:r>
      <w:r>
        <w:rPr>
          <w:rFonts w:ascii="Microsoft YaHei" w:hAnsi="Microsoft YaHei"/>
        </w:rPr>
        <w:t xml:space="preserve">的低估值为股价提供了坚实的安全垫，而中铁置业的代建业务升级新闻则为估值修复提供了催化剂。技术面上，股价已站稳 MA10、MA20 两条均线，短期多头格局确立，午后关注能否向上挑战布林上轨 </w:t>
      </w:r>
      <w:r>
        <w:rPr>
          <w:rFonts w:ascii="Microsoft YaHei" w:hAnsi="Microsoft YaHei"/>
          <w:b/>
          <w:color w:val="1A1A1A"/>
        </w:rPr>
        <w:t>4.60元</w:t>
      </w:r>
      <w:r>
        <w:rPr>
          <w:rFonts w:ascii="Microsoft YaHei" w:hAnsi="Microsoft YaHei"/>
        </w:rPr>
        <w:t xml:space="preserve"> 一线。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：需注意大盘缩量环境下的持续性，以及布林上轨附近可能出现的短线获利回吐压力。以上分析仅供参考，投资有风险，入市需谨慎。</w:t>
      </w:r>
    </w:p>
    <w:p>
      <w:pPr>
        <w:spacing w:before="240" w:after="240"/>
        <w:pBdr>
          <w:bottom w:val="single" w:sz="4" w:space="1" w:color="D0D7DE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中国中铁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