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中国交建（601800.SH）午间分析报告</w:t>
      </w:r>
    </w:p>
    <w:p>
      <w:r>
        <w:rPr>
          <w:rFonts w:ascii="Microsoft YaHei" w:hAnsi="Microsoft YaHei"/>
          <w:b/>
          <w:color w:val="1A1A1A"/>
        </w:rPr>
        <w:t>数据截止：今日11:30收盘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今日全市场情绪偏中性，热度指数为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（一般水平），成交额约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（较前一交易日缩量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 xml:space="preserve">）。涨跌分布上，上涨 </w:t>
      </w:r>
      <w:r>
        <w:rPr>
          <w:rFonts w:ascii="Microsoft YaHei" w:hAnsi="Microsoft YaHei"/>
          <w:b/>
          <w:color w:val="1A1A1A"/>
        </w:rPr>
        <w:t>2603家</w:t>
      </w:r>
      <w:r>
        <w:rPr>
          <w:rFonts w:ascii="Microsoft YaHei" w:hAnsi="Microsoft YaHei"/>
        </w:rPr>
        <w:t xml:space="preserve"> vs 下跌 </w:t>
      </w:r>
      <w:r>
        <w:rPr>
          <w:rFonts w:ascii="Microsoft YaHei" w:hAnsi="Microsoft YaHei"/>
          <w:b/>
          <w:color w:val="1A1A1A"/>
        </w:rPr>
        <w:t>2769家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68家</w:t>
      </w:r>
      <w:r>
        <w:rPr>
          <w:rFonts w:ascii="Microsoft YaHei" w:hAnsi="Microsoft YaHei"/>
        </w:rPr>
        <w:t xml:space="preserve">、跌停 </w:t>
      </w:r>
      <w:r>
        <w:rPr>
          <w:rFonts w:ascii="Microsoft YaHei" w:hAnsi="Microsoft YaHei"/>
          <w:b/>
          <w:color w:val="1A1A1A"/>
        </w:rPr>
        <w:t>50家</w:t>
      </w:r>
      <w:r>
        <w:rPr>
          <w:rFonts w:ascii="Microsoft YaHei" w:hAnsi="Microsoft YaHei"/>
        </w:rPr>
        <w:t xml:space="preserve">，赚钱效应指标为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，市场整体呈分化格局。涨停梯队方面，一板晋级率仅 </w:t>
      </w:r>
      <w:r>
        <w:rPr>
          <w:rFonts w:ascii="Microsoft YaHei" w:hAnsi="Microsoft YaHei"/>
          <w:b/>
          <w:color w:val="1A1A1A"/>
        </w:rPr>
        <w:t>13%</w:t>
      </w:r>
      <w:r>
        <w:rPr>
          <w:rFonts w:ascii="Microsoft YaHei" w:hAnsi="Microsoft YaHei"/>
        </w:rPr>
        <w:t>，高位接力意愿不强。</w:t>
      </w:r>
    </w:p>
    <w:p>
      <w:r>
        <w:rPr>
          <w:rFonts w:ascii="Microsoft YaHei" w:hAnsi="Microsoft YaHei"/>
        </w:rPr>
        <w:t>在市场整体缩量分化的背景下，中国交建逆势放量上攻，表现显著强于大盘。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6.24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+2.80%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6.09 / 6.25 / 6.08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678,246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41,984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0.58%</w:t>
            </w:r>
            <w:r>
              <w:rPr>
                <w:rFonts w:ascii="Microsoft YaHei" w:hAnsi="Microsoft YaHei"/>
                <w:sz w:val="18"/>
              </w:rPr>
              <w:t>（昨日日终仅 0.27%）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1.71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6.19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6.17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0.35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1,011.74亿 / 731.51亿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</w:p>
    <w:p>
      <w:pPr>
        <w:pStyle w:val="ListBullet"/>
      </w:pPr>
      <w:r>
        <w:rPr>
          <w:rFonts w:ascii="Microsoft YaHei" w:hAnsi="Microsoft YaHei"/>
        </w:rPr>
        <w:t xml:space="preserve">今日股价收涨 </w:t>
      </w:r>
      <w:r>
        <w:rPr>
          <w:rFonts w:ascii="Microsoft YaHei" w:hAnsi="Microsoft YaHei"/>
          <w:b/>
          <w:color w:val="1A1A1A"/>
        </w:rPr>
        <w:t>2.80%</w:t>
      </w:r>
      <w:r>
        <w:rPr>
          <w:rFonts w:ascii="Microsoft YaHei" w:hAnsi="Microsoft YaHei"/>
        </w:rPr>
        <w:t xml:space="preserve">，振幅 </w:t>
      </w:r>
      <w:r>
        <w:rPr>
          <w:rFonts w:ascii="Microsoft YaHei" w:hAnsi="Microsoft YaHei"/>
          <w:b/>
          <w:color w:val="1A1A1A"/>
        </w:rPr>
        <w:t>2.8%</w:t>
      </w:r>
      <w:r>
        <w:rPr>
          <w:rFonts w:ascii="Microsoft YaHei" w:hAnsi="Microsoft YaHei"/>
        </w:rPr>
        <w:t xml:space="preserve">，盘中最高触及 </w:t>
      </w:r>
      <w:r>
        <w:rPr>
          <w:rFonts w:ascii="Microsoft YaHei" w:hAnsi="Microsoft YaHei"/>
          <w:b/>
          <w:color w:val="1A1A1A"/>
        </w:rPr>
        <w:t>6.25元</w:t>
      </w:r>
      <w:r>
        <w:rPr>
          <w:rFonts w:ascii="Microsoft YaHei" w:hAnsi="Microsoft YaHei"/>
        </w:rPr>
        <w:t xml:space="preserve">，最低探至 </w:t>
      </w:r>
      <w:r>
        <w:rPr>
          <w:rFonts w:ascii="Microsoft YaHei" w:hAnsi="Microsoft YaHei"/>
          <w:b/>
          <w:color w:val="1A1A1A"/>
        </w:rPr>
        <w:t>6.08元</w:t>
      </w:r>
      <w:r>
        <w:rPr>
          <w:rFonts w:ascii="Microsoft YaHei" w:hAnsi="Microsoft YaHei"/>
        </w:rPr>
        <w:t>，走势稳健向上，全天基本在均价线上方运行。</w:t>
      </w:r>
    </w:p>
    <w:p>
      <w:pPr>
        <w:pStyle w:val="ListBullet"/>
      </w:pPr>
      <w:r>
        <w:rPr>
          <w:rFonts w:ascii="Microsoft YaHei" w:hAnsi="Microsoft YaHei"/>
        </w:rPr>
        <w:t xml:space="preserve">成交量较昨日显著放大：换手率 </w:t>
      </w:r>
      <w:r>
        <w:rPr>
          <w:rFonts w:ascii="Microsoft YaHei" w:hAnsi="Microsoft YaHei"/>
          <w:b/>
          <w:color w:val="1A1A1A"/>
        </w:rPr>
        <w:t>0.58%</w:t>
      </w:r>
      <w:r>
        <w:rPr>
          <w:rFonts w:ascii="Microsoft YaHei" w:hAnsi="Microsoft YaHei"/>
        </w:rPr>
        <w:t xml:space="preserve"> 是上一交易日（0.2721%）的 </w:t>
      </w:r>
      <w:r>
        <w:rPr>
          <w:rFonts w:ascii="Microsoft YaHei" w:hAnsi="Microsoft YaHei"/>
          <w:b/>
          <w:color w:val="1A1A1A"/>
        </w:rPr>
        <w:t>2.13倍</w:t>
      </w:r>
      <w:r>
        <w:rPr>
          <w:rFonts w:ascii="Microsoft YaHei" w:hAnsi="Microsoft YaHei"/>
        </w:rPr>
        <w:t xml:space="preserve">（放量），量比 </w:t>
      </w:r>
      <w:r>
        <w:rPr>
          <w:rFonts w:ascii="Microsoft YaHei" w:hAnsi="Microsoft YaHei"/>
          <w:b/>
          <w:color w:val="1A1A1A"/>
        </w:rPr>
        <w:t>1.71</w:t>
      </w:r>
      <w:r>
        <w:rPr>
          <w:rFonts w:ascii="Microsoft YaHei" w:hAnsi="Microsoft YaHei"/>
        </w:rPr>
        <w:t xml:space="preserve"> 亦表明今日交投活跃度远超近期均值。</w:t>
      </w:r>
    </w:p>
    <w:p>
      <w:pPr>
        <w:pStyle w:val="ListBullet"/>
      </w:pPr>
      <w:r>
        <w:rPr>
          <w:rFonts w:ascii="Microsoft YaHei" w:hAnsi="Microsoft YaHei"/>
        </w:rPr>
        <w:t>估值端：</w:t>
      </w:r>
      <w:r>
        <w:rPr>
          <w:rFonts w:ascii="Microsoft YaHei" w:hAnsi="Microsoft YaHei"/>
          <w:b/>
          <w:color w:val="1A1A1A"/>
        </w:rPr>
        <w:t>PE 6.17倍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PB 0.35倍</w:t>
      </w:r>
      <w:r>
        <w:rPr>
          <w:rFonts w:ascii="Microsoft YaHei" w:hAnsi="Microsoft YaHei"/>
        </w:rPr>
        <w:t>，处于历史极低区间，具备安全边际。</w:t>
      </w:r>
    </w:p>
    <w:p>
      <w:pPr>
        <w:pStyle w:val="ListBullet"/>
      </w:pPr>
      <w:r>
        <w:rPr>
          <w:rFonts w:ascii="Microsoft YaHei" w:hAnsi="Microsoft YaHei"/>
        </w:rPr>
        <w:t xml:space="preserve">内外盘对比：外盘 </w:t>
      </w:r>
      <w:r>
        <w:rPr>
          <w:rFonts w:ascii="Microsoft YaHei" w:hAnsi="Microsoft YaHei"/>
          <w:b/>
          <w:color w:val="1A1A1A"/>
        </w:rPr>
        <w:t>397,480手</w:t>
      </w:r>
      <w:r>
        <w:rPr>
          <w:rFonts w:ascii="Microsoft YaHei" w:hAnsi="Microsoft YaHei"/>
        </w:rPr>
        <w:t xml:space="preserve"> / 内盘 </w:t>
      </w:r>
      <w:r>
        <w:rPr>
          <w:rFonts w:ascii="Microsoft YaHei" w:hAnsi="Microsoft YaHei"/>
          <w:b/>
          <w:color w:val="1A1A1A"/>
        </w:rPr>
        <w:t>280,766手</w:t>
      </w:r>
      <w:r>
        <w:rPr>
          <w:rFonts w:ascii="Microsoft YaHei" w:hAnsi="Microsoft YaHei"/>
        </w:rPr>
        <w:t xml:space="preserve">，外盘明显大于内盘（约 </w:t>
      </w:r>
      <w:r>
        <w:rPr>
          <w:rFonts w:ascii="Microsoft YaHei" w:hAnsi="Microsoft YaHei"/>
          <w:b/>
          <w:color w:val="1A1A1A"/>
        </w:rPr>
        <w:t>1.42倍</w:t>
      </w:r>
      <w:r>
        <w:rPr>
          <w:rFonts w:ascii="Microsoft YaHei" w:hAnsi="Microsoft YaHei"/>
        </w:rPr>
        <w:t>），买方力量占优。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1,604.93万元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139分钟 / 99分钟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 / 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346.3万 / 306.6万</w:t>
            </w:r>
          </w:p>
        </w:tc>
      </w:tr>
    </w:tbl>
    <w:p/>
    <w:p>
      <w:r>
        <w:rPr>
          <w:rFonts w:ascii="Microsoft YaHei" w:hAnsi="Microsoft YaHei"/>
        </w:rPr>
        <w:t xml:space="preserve">资金流入时间占比达 </w:t>
      </w:r>
      <w:r>
        <w:rPr>
          <w:rFonts w:ascii="Microsoft YaHei" w:hAnsi="Microsoft YaHei"/>
          <w:b/>
          <w:color w:val="1A1A1A"/>
        </w:rPr>
        <w:t>58.4%</w:t>
      </w:r>
      <w:r>
        <w:rPr>
          <w:rFonts w:ascii="Microsoft YaHei" w:hAnsi="Microsoft YaHei"/>
        </w:rPr>
        <w:t>，多头主导格局明确。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昨日资金细分（元）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+972.55万</w:t>
            </w:r>
            <w:r>
              <w:rPr>
                <w:rFonts w:ascii="Microsoft YaHei" w:hAnsi="Microsoft YaHei"/>
                <w:sz w:val="18"/>
              </w:rPr>
              <w:t>（买入2,722.56万 / 卖出1,750.08万）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+153.33万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+479.04万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合计净额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+1,604.93万</w:t>
            </w:r>
          </w:p>
        </w:tc>
      </w:tr>
    </w:tbl>
    <w:p/>
    <w:p>
      <w:r>
        <w:rPr>
          <w:rFonts w:ascii="Microsoft YaHei" w:hAnsi="Microsoft YaHei"/>
        </w:rPr>
        <w:t xml:space="preserve">大单资金净流入近 </w:t>
      </w:r>
      <w:r>
        <w:rPr>
          <w:rFonts w:ascii="Microsoft YaHei" w:hAnsi="Microsoft YaHei"/>
          <w:b/>
          <w:color w:val="1A1A1A"/>
        </w:rPr>
        <w:t>千万级别</w:t>
      </w:r>
      <w:r>
        <w:rPr>
          <w:rFonts w:ascii="Microsoft YaHei" w:hAnsi="Microsoft YaHei"/>
        </w:rPr>
        <w:t>，且大单、中单、小单全线净流入，呈现"全口径买入"格局，主力资金参与度较高。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12.71亿</w:t>
            </w:r>
            <w:r>
              <w:rPr>
                <w:rFonts w:ascii="Microsoft YaHei" w:hAnsi="Microsoft YaHei"/>
                <w:sz w:val="18"/>
              </w:rPr>
              <w:t>（较前日 -0.66%）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0.03亿</w:t>
            </w:r>
            <w:r>
              <w:rPr>
                <w:rFonts w:ascii="Microsoft YaHei" w:hAnsi="Microsoft YaHei"/>
                <w:sz w:val="18"/>
              </w:rPr>
              <w:t>（较前日 +0.18%）</w:t>
            </w:r>
          </w:p>
        </w:tc>
      </w:tr>
    </w:tbl>
    <w:p/>
    <w:p>
      <w:r>
        <w:rPr>
          <w:rFonts w:ascii="Microsoft YaHei" w:hAnsi="Microsoft YaHei"/>
        </w:rPr>
        <w:t xml:space="preserve">融资余额虽小幅下降，但今日盘中获融资买入 </w:t>
      </w:r>
      <w:r>
        <w:rPr>
          <w:rFonts w:ascii="Microsoft YaHei" w:hAnsi="Microsoft YaHei"/>
          <w:b/>
          <w:color w:val="1A1A1A"/>
        </w:rPr>
        <w:t>2,197.38万元</w:t>
      </w:r>
      <w:r>
        <w:rPr>
          <w:rFonts w:ascii="Microsoft YaHei" w:hAnsi="Microsoft YaHei"/>
        </w:rPr>
        <w:t xml:space="preserve">（a_09），融资余额占流通市值比例 </w:t>
      </w:r>
      <w:r>
        <w:rPr>
          <w:rFonts w:ascii="Microsoft YaHei" w:hAnsi="Microsoft YaHei"/>
          <w:b/>
          <w:color w:val="1A1A1A"/>
        </w:rPr>
        <w:t>1.77%</w:t>
      </w:r>
      <w:r>
        <w:rPr>
          <w:rFonts w:ascii="Microsoft YaHei" w:hAnsi="Microsoft YaHei"/>
        </w:rPr>
        <w:t>，超过近一年70%分位水平，融资盘参与度偏高。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MA5（约6.16元）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价格位于上方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MA10（约6.05元）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价格位于上方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MA20/布林中轨（约5.91元）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价格位于上方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布林带上轨（6.25元）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价格几乎触及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仅差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0.01元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布林带下轨（5.57元）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技术形态评估：</w:t>
      </w:r>
    </w:p>
    <w:p>
      <w:pPr>
        <w:pStyle w:val="ListBullet"/>
      </w:pPr>
      <w:r>
        <w:rPr>
          <w:rFonts w:ascii="Microsoft YaHei" w:hAnsi="Microsoft YaHei"/>
        </w:rPr>
        <w:t xml:space="preserve">当前价格 </w:t>
      </w:r>
      <w:r>
        <w:rPr>
          <w:rFonts w:ascii="Microsoft YaHei" w:hAnsi="Microsoft YaHei"/>
          <w:b/>
          <w:color w:val="1A1A1A"/>
        </w:rPr>
        <w:t>6.24元</w:t>
      </w:r>
      <w:r>
        <w:rPr>
          <w:rFonts w:ascii="Microsoft YaHei" w:hAnsi="Microsoft YaHei"/>
        </w:rPr>
        <w:t xml:space="preserve"> 稳稳站于MA5（6.16）、MA10（6.05）和MA20（5.91）上方，</w:t>
      </w:r>
      <w:r>
        <w:rPr>
          <w:rFonts w:ascii="Microsoft YaHei" w:hAnsi="Microsoft YaHei"/>
          <w:b/>
          <w:color w:val="1A1A1A"/>
        </w:rPr>
        <w:t>短期、中期均线呈多头排列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价格已接近 </w:t>
      </w:r>
      <w:r>
        <w:rPr>
          <w:rFonts w:ascii="Microsoft YaHei" w:hAnsi="Microsoft YaHei"/>
          <w:b/>
          <w:color w:val="1A1A1A"/>
        </w:rPr>
        <w:t>布林带上轨6.25元</w:t>
      </w:r>
      <w:r>
        <w:rPr>
          <w:rFonts w:ascii="Microsoft YaHei" w:hAnsi="Microsoft YaHei"/>
        </w:rPr>
        <w:t>，盘中最高6.25元恰好触及上轨，说明股价已运行至布林通道上沿附近。短期有上轨压力，但若突破则打开上行空间。</w:t>
      </w:r>
    </w:p>
    <w:p>
      <w:pPr>
        <w:pStyle w:val="ListBullet"/>
      </w:pPr>
      <w:r>
        <w:rPr>
          <w:rFonts w:ascii="Microsoft YaHei" w:hAnsi="Microsoft YaHei"/>
        </w:rPr>
        <w:t xml:space="preserve">从均线偏离度看，MA20上方 </w:t>
      </w:r>
      <w:r>
        <w:rPr>
          <w:rFonts w:ascii="Microsoft YaHei" w:hAnsi="Microsoft YaHei"/>
          <w:b/>
          <w:color w:val="1A1A1A"/>
        </w:rPr>
        <w:t>5.6%</w:t>
      </w:r>
      <w:r>
        <w:rPr>
          <w:rFonts w:ascii="Microsoft YaHei" w:hAnsi="Microsoft YaHei"/>
        </w:rPr>
        <w:t>，短期上涨动能较强，但需注意上轨附近的短线获利回吐压力。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公司动态解读（根据标题）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文章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董事会第七次会议决议公告</w:t>
            </w:r>
            <w:r>
              <w:rPr>
                <w:rFonts w:ascii="Microsoft YaHei" w:hAnsi="Microsoft YaHei"/>
                <w:sz w:val="18"/>
              </w:rPr>
              <w:t>（a_01）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重要内部决议，可能涉及经营策略调整或重大事项，建议关注后续明细公告。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拟为子公司两项目提供约81.36亿元履约担保</w:t>
            </w:r>
            <w:r>
              <w:rPr>
                <w:rFonts w:ascii="Microsoft YaHei" w:hAnsi="Microsoft YaHei"/>
                <w:sz w:val="18"/>
              </w:rPr>
              <w:t>（a_05）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金额较大（约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81.36亿</w:t>
            </w:r>
            <w:r>
              <w:rPr>
                <w:rFonts w:ascii="Microsoft YaHei" w:hAnsi="Microsoft YaHei"/>
                <w:sz w:val="18"/>
              </w:rPr>
              <w:t>），说明公司重点项目正在推进，业务量饱满，对股价偏正面。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正全力推进提质增效、补齐经营短板</w:t>
            </w:r>
            <w:r>
              <w:rPr>
                <w:rFonts w:ascii="Microsoft YaHei" w:hAnsi="Microsoft YaHei"/>
                <w:sz w:val="18"/>
              </w:rPr>
              <w:t>（a_06）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管理层主动优化经营，释放改善盈利能力的积极信号。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各家基建央企业务结构、资产特征存在差异</w:t>
            </w:r>
            <w:r>
              <w:rPr>
                <w:rFonts w:ascii="Microsoft YaHei" w:hAnsi="Microsoft YaHei"/>
                <w:sz w:val="18"/>
              </w:rPr>
              <w:t>（a_04）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可能为行业对比分析，突出公司差异化优势。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绿城首次一人身兼主席+总裁，中交彻底接管</w:t>
            </w:r>
            <w:r>
              <w:rPr>
                <w:rFonts w:ascii="Microsoft YaHei" w:hAnsi="Microsoft YaHei"/>
                <w:sz w:val="18"/>
              </w:rPr>
              <w:t>（a_08）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子公司绿城中国管理架构调整，中交系进一步深化管控，有利于资源整合与战略协同。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公司无逾期对外融资担保</w:t>
            </w:r>
            <w:r>
              <w:rPr>
                <w:rFonts w:ascii="Microsoft YaHei" w:hAnsi="Microsoft YaHei"/>
                <w:sz w:val="18"/>
              </w:rPr>
              <w:t>（a_03）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信用状况良好，风险可控。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二级市场走势受多重因素影响</w:t>
            </w:r>
            <w:r>
              <w:rPr>
                <w:rFonts w:ascii="Microsoft YaHei" w:hAnsi="Microsoft YaHei"/>
                <w:sz w:val="18"/>
              </w:rPr>
              <w:t>（a_02）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公司对股价走势的关注回应。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昨日（7月27日）获融资买入2197.38万元</w:t>
            </w:r>
            <w:r>
              <w:rPr>
                <w:rFonts w:ascii="Microsoft YaHei" w:hAnsi="Microsoft YaHei"/>
                <w:sz w:val="18"/>
              </w:rPr>
              <w:t>（a_09）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融资盘持续关注，余额占流通市值比例超近一年70%分位。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宏观快讯影响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长鑫科技登陆科创板（募资约579亿）</w:t>
      </w:r>
      <w:r>
        <w:rPr>
          <w:rFonts w:ascii="Microsoft YaHei" w:hAnsi="Microsoft YaHei"/>
        </w:rPr>
        <w:t>：大规模IPO对市场资金面构成短期压力，但公司属基建央企，受科技股分流影响有限。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央行将开展逆回购操作（7月29-31日每日6000亿）</w:t>
      </w:r>
      <w:r>
        <w:rPr>
          <w:rFonts w:ascii="Microsoft YaHei" w:hAnsi="Microsoft YaHei"/>
        </w:rPr>
        <w:t>：维护月末流动性，有利于稳定市场资金面预期。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国际油价大幅波动（WTI跌超6%）</w:t>
      </w:r>
      <w:r>
        <w:rPr>
          <w:rFonts w:ascii="Microsoft YaHei" w:hAnsi="Microsoft YaHei"/>
        </w:rPr>
        <w:t>：油价下行有助于降低基建企业施工成本，对利润端构成利好。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中美科技摩擦（出口管制、贸易调查）</w:t>
      </w:r>
      <w:r>
        <w:rPr>
          <w:rFonts w:ascii="Microsoft YaHei" w:hAnsi="Microsoft YaHei"/>
        </w:rPr>
        <w:t>：外部不确定性仍存，但公司主业聚焦国内基建，受影响较小。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所属行业板块表现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建筑与工程Ⅲ(A股)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-2.93%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802/1158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7/108</w:t>
            </w:r>
            <w:r>
              <w:rPr>
                <w:rFonts w:ascii="Microsoft YaHei" w:hAnsi="Microsoft YaHei"/>
                <w:sz w:val="18"/>
              </w:rPr>
              <w:t>（前7%）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建筑与工程Ⅳ(A股)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-2.93%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801/1158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7/108</w:t>
            </w:r>
            <w:r>
              <w:rPr>
                <w:rFonts w:ascii="Microsoft YaHei" w:hAnsi="Microsoft YaHei"/>
                <w:sz w:val="18"/>
              </w:rPr>
              <w:t>（前7%）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100/1209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资本品(A股)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68/892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所属概念板块表现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125/319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上证180成份股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74/197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一带一路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-1.64%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96/744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509/3516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板块联动分析：</w:t>
      </w:r>
    </w:p>
    <w:p>
      <w:pPr>
        <w:pStyle w:val="ListBullet"/>
      </w:pPr>
      <w:r>
        <w:rPr>
          <w:rFonts w:ascii="Microsoft YaHei" w:hAnsi="Microsoft YaHei"/>
        </w:rPr>
        <w:t xml:space="preserve">建筑与工程板块整体下跌 </w:t>
      </w:r>
      <w:r>
        <w:rPr>
          <w:rFonts w:ascii="Microsoft YaHei" w:hAnsi="Microsoft YaHei"/>
          <w:b/>
          <w:color w:val="1A1A1A"/>
        </w:rPr>
        <w:t>-2.93%</w:t>
      </w:r>
      <w:r>
        <w:rPr>
          <w:rFonts w:ascii="Microsoft YaHei" w:hAnsi="Microsoft YaHei"/>
        </w:rPr>
        <w:t xml:space="preserve">，但中国交建在板块108只个股中排名 </w:t>
      </w:r>
      <w:r>
        <w:rPr>
          <w:rFonts w:ascii="Microsoft YaHei" w:hAnsi="Microsoft YaHei"/>
          <w:b/>
          <w:color w:val="1A1A1A"/>
        </w:rPr>
        <w:t>第7位</w:t>
      </w:r>
      <w:r>
        <w:rPr>
          <w:rFonts w:ascii="Microsoft YaHei" w:hAnsi="Microsoft YaHei"/>
        </w:rPr>
        <w:t>，远优于板块均值，体现出龙头强势特征。</w:t>
      </w:r>
    </w:p>
    <w:p>
      <w:pPr>
        <w:pStyle w:val="ListBullet"/>
      </w:pPr>
      <w:r>
        <w:rPr>
          <w:rFonts w:ascii="Microsoft YaHei" w:hAnsi="Microsoft YaHei"/>
        </w:rPr>
        <w:t xml:space="preserve">在沪深300和上证180两大权重股组合中，公司均排名前 </w:t>
      </w:r>
      <w:r>
        <w:rPr>
          <w:rFonts w:ascii="Microsoft YaHei" w:hAnsi="Microsoft YaHei"/>
          <w:b/>
          <w:color w:val="1A1A1A"/>
        </w:rPr>
        <w:t>40%</w:t>
      </w:r>
      <w:r>
        <w:rPr>
          <w:rFonts w:ascii="Microsoft YaHei" w:hAnsi="Microsoft YaHei"/>
        </w:rPr>
        <w:t xml:space="preserve"> 左右，表现优于多数权重股。</w:t>
      </w:r>
    </w:p>
    <w:p>
      <w:pPr>
        <w:pStyle w:val="ListBullet"/>
      </w:pPr>
      <w:r>
        <w:rPr>
          <w:rFonts w:ascii="Microsoft YaHei" w:hAnsi="Microsoft YaHei"/>
        </w:rPr>
        <w:t xml:space="preserve">同一板块内央企同行如 </w:t>
      </w:r>
      <w:r>
        <w:rPr>
          <w:rFonts w:ascii="Microsoft YaHei" w:hAnsi="Microsoft YaHei"/>
          <w:b/>
          <w:color w:val="1A1A1A"/>
        </w:rPr>
        <w:t>中国化学（+3.09%）、四川路桥（+4.37%）、中油工程（+5.05%）</w:t>
      </w:r>
      <w:r>
        <w:rPr>
          <w:rFonts w:ascii="Microsoft YaHei" w:hAnsi="Microsoft YaHei"/>
        </w:rPr>
        <w:t xml:space="preserve"> 亦表现活跃，显示基建央企板块存在联动效应。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 xml:space="preserve">：今日中国交建在缩量市场中逆势放量 </w:t>
      </w:r>
      <w:r>
        <w:rPr>
          <w:rFonts w:ascii="Microsoft YaHei" w:hAnsi="Microsoft YaHei"/>
          <w:b/>
          <w:color w:val="1A1A1A"/>
        </w:rPr>
        <w:t>+2.80%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1.71</w:t>
      </w:r>
      <w:r>
        <w:rPr>
          <w:rFonts w:ascii="Microsoft YaHei" w:hAnsi="Microsoft YaHei"/>
        </w:rPr>
        <w:t xml:space="preserve">、换手率较昨日放大逾 </w:t>
      </w:r>
      <w:r>
        <w:rPr>
          <w:rFonts w:ascii="Microsoft YaHei" w:hAnsi="Microsoft YaHei"/>
          <w:b/>
          <w:color w:val="1A1A1A"/>
        </w:rPr>
        <w:t>2倍</w:t>
      </w:r>
      <w:r>
        <w:rPr>
          <w:rFonts w:ascii="Microsoft YaHei" w:hAnsi="Microsoft YaHei"/>
        </w:rPr>
        <w:t xml:space="preserve">，资金参与热情显著升温。外盘/内盘比约 </w:t>
      </w:r>
      <w:r>
        <w:rPr>
          <w:rFonts w:ascii="Microsoft YaHei" w:hAnsi="Microsoft YaHei"/>
          <w:b/>
          <w:color w:val="1A1A1A"/>
        </w:rPr>
        <w:t>1.42倍</w:t>
      </w:r>
      <w:r>
        <w:rPr>
          <w:rFonts w:ascii="Microsoft YaHei" w:hAnsi="Microsoft YaHei"/>
        </w:rPr>
        <w:t>，买方力量占优。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资金全线净流入</w:t>
      </w:r>
      <w:r>
        <w:rPr>
          <w:rFonts w:ascii="Microsoft YaHei" w:hAnsi="Microsoft YaHei"/>
        </w:rPr>
        <w:t xml:space="preserve">：大单净流入 </w:t>
      </w:r>
      <w:r>
        <w:rPr>
          <w:rFonts w:ascii="Microsoft YaHei" w:hAnsi="Microsoft YaHei"/>
          <w:b/>
          <w:color w:val="1A1A1A"/>
        </w:rPr>
        <w:t>+972.55万元</w:t>
      </w:r>
      <w:r>
        <w:rPr>
          <w:rFonts w:ascii="Microsoft YaHei" w:hAnsi="Microsoft YaHei"/>
        </w:rPr>
        <w:t>，且大、中、小单均录得净流入，呈现全口径买入格局，主力资金态度偏积极。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技术面多头排列</w:t>
      </w:r>
      <w:r>
        <w:rPr>
          <w:rFonts w:ascii="Microsoft YaHei" w:hAnsi="Microsoft YaHei"/>
        </w:rPr>
        <w:t>：股价站稳MA5/MA10/MA20三条均线上方，短期强势明确。但已运行至布林带上轨（6.25元）附近，短线存在技术压力，突破与否是午后看点。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估值安全垫厚实</w:t>
      </w:r>
      <w:r>
        <w:rPr>
          <w:rFonts w:ascii="Microsoft YaHei" w:hAnsi="Microsoft YaHei"/>
        </w:rPr>
        <w:t xml:space="preserve">：PE </w:t>
      </w:r>
      <w:r>
        <w:rPr>
          <w:rFonts w:ascii="Microsoft YaHei" w:hAnsi="Microsoft YaHei"/>
          <w:b/>
          <w:color w:val="1A1A1A"/>
        </w:rPr>
        <w:t>6.17倍</w:t>
      </w:r>
      <w:r>
        <w:rPr>
          <w:rFonts w:ascii="Microsoft YaHei" w:hAnsi="Microsoft YaHei"/>
        </w:rPr>
        <w:t xml:space="preserve">、PB </w:t>
      </w:r>
      <w:r>
        <w:rPr>
          <w:rFonts w:ascii="Microsoft YaHei" w:hAnsi="Microsoft YaHei"/>
          <w:b/>
          <w:color w:val="1A1A1A"/>
        </w:rPr>
        <w:t>0.35倍</w:t>
      </w:r>
      <w:r>
        <w:rPr>
          <w:rFonts w:ascii="Microsoft YaHei" w:hAnsi="Microsoft YaHei"/>
        </w:rPr>
        <w:t>，在基建央国企中处于极低水平，估值修复空间充足。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消息面偏暖</w:t>
      </w:r>
      <w:r>
        <w:rPr>
          <w:rFonts w:ascii="Microsoft YaHei" w:hAnsi="Microsoft YaHei"/>
        </w:rPr>
        <w:t>：子公司重点项目担保推进（81.36亿）、绿城管理整合深化、提质增效举措落地，基本面催化剂在累积。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布林带上轨附近存在短线获利回吐压力；市场整体情绪偏中性，大盘若走弱可能拖累个股表现；融资余额占比偏高（超近一年70%分位），若市场转弱可能引发杠杆资金撤离。</w:t>
      </w:r>
    </w:p>
    <w:p>
      <w:r>
        <w:rPr>
          <w:rFonts w:ascii="Microsoft YaHei" w:hAnsi="Microsoft YaHei"/>
          <w:b/>
          <w:color w:val="1A1A1A"/>
        </w:rPr>
        <w:t>午后关注要点：</w:t>
      </w:r>
      <w:r>
        <w:rPr>
          <w:rFonts w:ascii="Microsoft YaHei" w:hAnsi="Microsoft YaHei"/>
        </w:rPr>
        <w:t xml:space="preserve"> 能否放量突破布林带上轨 </w:t>
      </w:r>
      <w:r>
        <w:rPr>
          <w:rFonts w:ascii="Microsoft YaHei" w:hAnsi="Microsoft YaHei"/>
          <w:b/>
          <w:color w:val="1A1A1A"/>
        </w:rPr>
        <w:t>6.25元</w:t>
      </w:r>
      <w:r>
        <w:rPr>
          <w:rFonts w:ascii="Microsoft YaHei" w:hAnsi="Microsoft YaHei"/>
        </w:rPr>
        <w:t xml:space="preserve"> 是短期强弱分水岭。若能站稳6.25元以上，有望进一步打开上行空间；若冲高回落，则需关注MA5（6.16元）支撑力度。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免责声明：</w:t>
      </w:r>
      <w:r>
        <w:rPr>
          <w:rFonts w:ascii="Microsoft YaHei" w:hAnsi="Microsoft YaHei"/>
        </w:rPr>
        <w:t xml:space="preserve"> 本报告基于公开数据整理分析，仅供参考，不构成投资建议。股市有风险，投资需谨慎。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中国交建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