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中国电建（601669.SH）午间分析报告</w:t>
      </w:r>
    </w:p>
    <w:p>
      <w:r>
        <w:rPr>
          <w:rFonts w:ascii="Microsoft YaHei" w:hAnsi="Microsoft YaHei"/>
          <w:b/>
          <w:color w:val="1A1A1A"/>
        </w:rPr>
        <w:t>数据截止时间：2026年7月28日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今日全市场整体情绪一般（热度 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 xml:space="preserve">），上涨家数2603家 vs 下跌2769家，涨停68只/跌停50只，赚钱效应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。虽然上涨占比达 </w:t>
      </w:r>
      <w:r>
        <w:rPr>
          <w:rFonts w:ascii="Microsoft YaHei" w:hAnsi="Microsoft YaHei"/>
          <w:b/>
          <w:color w:val="1A1A1A"/>
        </w:rPr>
        <w:t>75%</w:t>
      </w:r>
      <w:r>
        <w:rPr>
          <w:rFonts w:ascii="Microsoft YaHei" w:hAnsi="Microsoft YaHei"/>
        </w:rPr>
        <w:t xml:space="preserve">，但涨跌家数基本持平，市场分化明显。中国电建所属的建筑与工程板块（A股）整体下跌 </w:t>
      </w:r>
      <w:r>
        <w:rPr>
          <w:rFonts w:ascii="Microsoft YaHei" w:hAnsi="Microsoft YaHei"/>
          <w:b/>
          <w:color w:val="1A1A1A"/>
        </w:rPr>
        <w:t>-2.93%</w:t>
      </w:r>
      <w:r>
        <w:rPr>
          <w:rFonts w:ascii="Microsoft YaHei" w:hAnsi="Microsoft YaHei"/>
        </w:rPr>
        <w:t>，在1158个板块中排名第802位，板块表现疲弱。</w:t>
      </w:r>
    </w:p>
    <w:p>
      <w:r>
        <w:rPr>
          <w:rFonts w:ascii="Microsoft YaHei" w:hAnsi="Microsoft YaHei"/>
          <w:b/>
          <w:color w:val="1A1A1A"/>
        </w:rPr>
        <w:t>中国电建逆势大涨 2.55%</w:t>
      </w:r>
      <w:r>
        <w:rPr>
          <w:rFonts w:ascii="Microsoft YaHei" w:hAnsi="Microsoft YaHei"/>
        </w:rPr>
        <w:t xml:space="preserve">，报收 </w:t>
      </w:r>
      <w:r>
        <w:rPr>
          <w:rFonts w:ascii="Microsoft YaHei" w:hAnsi="Microsoft YaHei"/>
          <w:b/>
          <w:color w:val="1A1A1A"/>
        </w:rPr>
        <w:t>4.83元</w:t>
      </w:r>
      <w:r>
        <w:rPr>
          <w:rFonts w:ascii="Microsoft YaHei" w:hAnsi="Microsoft YaHei"/>
        </w:rPr>
        <w:t xml:space="preserve">，在建筑与工程板块108只成分股中排名 </w:t>
      </w:r>
      <w:r>
        <w:rPr>
          <w:rFonts w:ascii="Microsoft YaHei" w:hAnsi="Microsoft YaHei"/>
          <w:b/>
          <w:color w:val="1A1A1A"/>
        </w:rPr>
        <w:t>第9位</w:t>
      </w:r>
      <w:r>
        <w:rPr>
          <w:rFonts w:ascii="Microsoft YaHei" w:hAnsi="Microsoft YaHei"/>
        </w:rPr>
        <w:t>，属于板块内的强势领涨标的。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简评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4.83元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较昨收+2.55%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4.71 / 4.84 / 4.71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开盘即全天最低，震荡上行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192.49万手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较昨日全天显著放量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9.22亿元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半日即接近昨日全天水平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1.47%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较昨日全日0.67%放量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2.21倍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1.66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明显活跃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外盘/内盘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116.50万手 / 75.99万手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外盘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&gt;</w:t>
            </w:r>
            <w:r>
              <w:rPr>
                <w:rFonts w:ascii="Microsoft YaHei" w:hAnsi="Microsoft YaHei"/>
                <w:sz w:val="18"/>
              </w:rPr>
              <w:t xml:space="preserve"> 内盘，主动买盘占优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10.66倍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估值偏低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PB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0.57倍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仍处破净状态，安全边际较高</w:t>
            </w:r>
          </w:p>
        </w:tc>
      </w:tr>
    </w:tbl>
    <w:p/>
    <w:p>
      <w:r>
        <w:rPr>
          <w:rFonts w:ascii="Microsoft YaHei" w:hAnsi="Microsoft YaHei"/>
        </w:rPr>
        <w:t xml:space="preserve">&gt; 半日换手率即达1.47%，是昨日全日0.67%的 </w:t>
      </w:r>
      <w:r>
        <w:rPr>
          <w:rFonts w:ascii="Microsoft YaHei" w:hAnsi="Microsoft YaHei"/>
          <w:b/>
          <w:color w:val="1A1A1A"/>
        </w:rPr>
        <w:t>2.21倍</w:t>
      </w:r>
      <w:r>
        <w:rPr>
          <w:rFonts w:ascii="Microsoft YaHei" w:hAnsi="Microsoft YaHei"/>
        </w:rPr>
        <w:t>，量比1.66，属典型的</w:t>
      </w:r>
      <w:r>
        <w:rPr>
          <w:rFonts w:ascii="Microsoft YaHei" w:hAnsi="Microsoft YaHei"/>
          <w:b/>
          <w:color w:val="1A1A1A"/>
        </w:rPr>
        <w:t>放量上攻</w:t>
      </w:r>
      <w:r>
        <w:rPr>
          <w:rFonts w:ascii="Microsoft YaHei" w:hAnsi="Microsoft YaHei"/>
        </w:rPr>
        <w:t>形态。外盘（116.5万手）远超内盘（76.0万手），主动买盘积极。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逐分钟资金流向（午间累计）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4518.04万元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106分钟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132分钟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4144.7万元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1939.8万元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+3295.06万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1.57亿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1.24亿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+1248.22万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1.12亿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0.998亿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-25.24万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0.532亿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0.534亿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+4518.04万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>资金面信号清晰：</w:t>
      </w:r>
      <w:r>
        <w:rPr>
          <w:rFonts w:ascii="Microsoft YaHei" w:hAnsi="Microsoft YaHei"/>
          <w:b/>
          <w:color w:val="1A1A1A"/>
        </w:rPr>
        <w:t>大单资金净流入3295万元</w:t>
      </w:r>
      <w:r>
        <w:rPr>
          <w:rFonts w:ascii="Microsoft YaHei" w:hAnsi="Microsoft YaHei"/>
        </w:rPr>
        <w:t>是主要驱动力，中单小幅跟进，小单微量流出。虽然每分钟资金流入次数（106次）少于流出次数（132次），但单笔流入金额（最大4144.7万）显著大于单笔流出（最大1939.8万），表明</w:t>
      </w:r>
      <w:r>
        <w:rPr>
          <w:rFonts w:ascii="Microsoft YaHei" w:hAnsi="Microsoft YaHei"/>
          <w:b/>
          <w:color w:val="1A1A1A"/>
        </w:rPr>
        <w:t>主力资金集中买入</w:t>
      </w:r>
      <w:r>
        <w:rPr>
          <w:rFonts w:ascii="Microsoft YaHei" w:hAnsi="Microsoft YaHei"/>
        </w:rPr>
        <w:t>的迹象明显。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34.53亿元</w:t>
      </w:r>
      <w:r>
        <w:rPr>
          <w:rFonts w:ascii="Microsoft YaHei" w:hAnsi="Microsoft YaHei"/>
        </w:rPr>
        <w:t>（较前日 -0.08%）</w:t>
      </w:r>
    </w:p>
    <w:p>
      <w:pPr>
        <w:pStyle w:val="ListBullet"/>
      </w:pPr>
      <w:r>
        <w:rPr>
          <w:rFonts w:ascii="Microsoft YaHei" w:hAnsi="Microsoft YaHei"/>
        </w:rPr>
        <w:t>融券余额：0.13亿元（较前日 +6.05%）</w:t>
      </w:r>
    </w:p>
    <w:p>
      <w:r>
        <w:rPr>
          <w:rFonts w:ascii="Microsoft YaHei" w:hAnsi="Microsoft YaHei"/>
        </w:rPr>
        <w:t>融资余额变动不大，杠杆资金趋于稳定。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4.83元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MA5（约4.82元）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股价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贴近</w:t>
            </w:r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MA10（约4.75元）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股价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位于上方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MA20/布林中轨（约4.69元）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股价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位于上方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布林带上轨（4.85元）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距上轨仅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0.02元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接近上轨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布林带下轨（4.53元）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远离下轨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</w:rPr>
        <w:t xml:space="preserve">股价站上MA5/MA10/MA20 </w:t>
      </w:r>
      <w:r>
        <w:rPr>
          <w:rFonts w:ascii="Microsoft YaHei" w:hAnsi="Microsoft YaHei"/>
          <w:b/>
          <w:color w:val="1A1A1A"/>
        </w:rPr>
        <w:t>所有均线</w:t>
      </w:r>
      <w:r>
        <w:rPr>
          <w:rFonts w:ascii="Microsoft YaHei" w:hAnsi="Microsoft YaHei"/>
        </w:rPr>
        <w:t>，短期均线系统呈多头排列趋势</w:t>
      </w:r>
    </w:p>
    <w:p>
      <w:pPr>
        <w:pStyle w:val="ListBullet"/>
      </w:pPr>
      <w:r>
        <w:rPr>
          <w:rFonts w:ascii="Microsoft YaHei" w:hAnsi="Microsoft YaHei"/>
        </w:rPr>
        <w:t xml:space="preserve">当前价4.83元距布林带上轨4.85元仅差 </w:t>
      </w:r>
      <w:r>
        <w:rPr>
          <w:rFonts w:ascii="Microsoft YaHei" w:hAnsi="Microsoft YaHei"/>
          <w:b/>
          <w:color w:val="1A1A1A"/>
        </w:rPr>
        <w:t>0.02元（0.4%）</w:t>
      </w:r>
      <w:r>
        <w:rPr>
          <w:rFonts w:ascii="Microsoft YaHei" w:hAnsi="Microsoft YaHei"/>
        </w:rPr>
        <w:t>，已进入</w:t>
      </w:r>
      <w:r>
        <w:rPr>
          <w:rFonts w:ascii="Microsoft YaHei" w:hAnsi="Microsoft YaHei"/>
          <w:b/>
          <w:color w:val="1A1A1A"/>
        </w:rPr>
        <w:t>强阻力区域</w:t>
      </w:r>
    </w:p>
    <w:p>
      <w:pPr>
        <w:pStyle w:val="ListBullet"/>
      </w:pPr>
      <w:r>
        <w:rPr>
          <w:rFonts w:ascii="Microsoft YaHei" w:hAnsi="Microsoft YaHei"/>
        </w:rPr>
        <w:t>若午后能放量突破4.85元布林带上轨，上行空间将进一步打开；若受阻回落，则可能回踩MA5（4.82元）或MA10（4.75元）寻求支撑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相关热点分析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电力板块催化</w:t>
      </w:r>
      <w:r>
        <w:rPr>
          <w:rFonts w:ascii="Microsoft YaHei" w:hAnsi="Microsoft YaHei"/>
        </w:rPr>
        <w:t xml:space="preserve">：国家能源局数据显示，2026年6月全国完成电力市场交易电量6275亿千瓦时，同比增长 </w:t>
      </w:r>
      <w:r>
        <w:rPr>
          <w:rFonts w:ascii="Microsoft YaHei" w:hAnsi="Microsoft YaHei"/>
          <w:b/>
          <w:color w:val="1A1A1A"/>
        </w:rPr>
        <w:t>20.8%</w:t>
      </w:r>
      <w:r>
        <w:rPr>
          <w:rFonts w:ascii="Microsoft YaHei" w:hAnsi="Microsoft YaHei"/>
        </w:rPr>
        <w:t>。电力建设作为中国电建的核心业务，行业景气度上行是今日股价走强的重要背景支撑。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能源产业生态报告发布</w:t>
      </w:r>
      <w:r>
        <w:rPr>
          <w:rFonts w:ascii="Microsoft YaHei" w:hAnsi="Microsoft YaHei"/>
        </w:rPr>
        <w:t>：《2026能源产业生态报告》指出"十四五"时期我国风电光伏装机历史性超越火电。中国电建作为国内电力工程与新能源建设的龙头企业，深度受益于能源转型大趋势。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建筑央企板块联动</w:t>
      </w:r>
      <w:r>
        <w:rPr>
          <w:rFonts w:ascii="Microsoft YaHei" w:hAnsi="Microsoft YaHei"/>
        </w:rPr>
        <w:t>：今日建筑与工程板块虽整体下跌 -2.93%，但</w:t>
      </w:r>
      <w:r>
        <w:rPr>
          <w:rFonts w:ascii="Microsoft YaHei" w:hAnsi="Microsoft YaHei"/>
          <w:b/>
          <w:color w:val="1A1A1A"/>
        </w:rPr>
        <w:t>头部央企</w:t>
      </w:r>
      <w:r>
        <w:rPr>
          <w:rFonts w:ascii="Microsoft YaHei" w:hAnsi="Microsoft YaHei"/>
        </w:rPr>
        <w:t>表现突出——中国交建+2.80%、中国建筑+2.65%、中国电建+2.55%、中国中冶+2.30%、中国中铁+2.26%。板块内呈现明显的</w:t>
      </w:r>
      <w:r>
        <w:rPr>
          <w:rFonts w:ascii="Microsoft YaHei" w:hAnsi="Microsoft YaHei"/>
          <w:b/>
          <w:color w:val="1A1A1A"/>
        </w:rPr>
        <w:t>"大而强、小而弱"</w:t>
      </w:r>
      <w:r>
        <w:rPr>
          <w:rFonts w:ascii="Microsoft YaHei" w:hAnsi="Microsoft YaHei"/>
        </w:rPr>
        <w:t>分化格局，资金向低估值、高确定性的建筑央企龙头集中。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今日竞价信号</w:t>
      </w:r>
    </w:p>
    <w:p>
      <w:r>
        <w:rPr>
          <w:rFonts w:ascii="Microsoft YaHei" w:hAnsi="Microsoft YaHei"/>
        </w:rPr>
        <w:t>今日电网设备板块龙头长缆科技（5板）平开，顺钠股份（3板）高开9.99%，显示电网主线情绪延续。中国电建作为电网/电力建设核心标的，受板块情绪带动较为明显。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个股在板块中排名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145/319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89/197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建筑与工程Ⅲ(A股)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-2.93%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802/1158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9/108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资本品(A股)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-3.19%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840/1158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79/892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117/1209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关键发现：</w:t>
      </w:r>
      <w:r>
        <w:rPr>
          <w:rFonts w:ascii="Microsoft YaHei" w:hAnsi="Microsoft YaHei"/>
        </w:rPr>
        <w:t xml:space="preserve"> 中国电建所属建筑板块整体跌幅近 </w:t>
      </w:r>
      <w:r>
        <w:rPr>
          <w:rFonts w:ascii="Microsoft YaHei" w:hAnsi="Microsoft YaHei"/>
          <w:b/>
          <w:color w:val="1A1A1A"/>
        </w:rPr>
        <w:t>-3%</w:t>
      </w:r>
      <w:r>
        <w:rPr>
          <w:rFonts w:ascii="Microsoft YaHei" w:hAnsi="Microsoft YaHei"/>
        </w:rPr>
        <w:t xml:space="preserve">，但该股逆势大涨 </w:t>
      </w:r>
      <w:r>
        <w:rPr>
          <w:rFonts w:ascii="Microsoft YaHei" w:hAnsi="Microsoft YaHei"/>
          <w:b/>
          <w:color w:val="1A1A1A"/>
        </w:rPr>
        <w:t>+2.55%</w:t>
      </w:r>
      <w:r>
        <w:rPr>
          <w:rFonts w:ascii="Microsoft YaHei" w:hAnsi="Microsoft YaHei"/>
        </w:rPr>
        <w:t>，在板块108只成分股中排名第9，属于板块中的绝对强势股。同时，作为沪深300和上证180成分股，在宽基指数中也处于中上游水平（145/319和89/197），说明</w:t>
      </w:r>
      <w:r>
        <w:rPr>
          <w:rFonts w:ascii="Microsoft YaHei" w:hAnsi="Microsoft YaHei"/>
          <w:b/>
          <w:color w:val="1A1A1A"/>
        </w:rPr>
        <w:t>整体市场风格对大盘蓝筹股有利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主力观点：★★★☆☆（偏多）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依据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量价关系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积极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放量2.21倍上攻，外盘&gt;内盘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积极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主力大单净流入3295万元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技术形态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中性偏多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站上所有均线，但接近布林上轨压力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估值水平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积极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PB仅0.57倍破净，PE仅10.66倍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板块环境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中性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所在建筑板块下跌-2.93%，但个股逆势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行业催化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积极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电力市场交易量增长+能源转型大趋势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核心结论：</w:t>
      </w:r>
    </w:p>
    <w:p>
      <w:r>
        <w:rPr>
          <w:rFonts w:ascii="Microsoft YaHei" w:hAnsi="Microsoft YaHei"/>
        </w:rPr>
        <w:t>中国电建今日午间呈现典型的</w:t>
      </w:r>
      <w:r>
        <w:rPr>
          <w:rFonts w:ascii="Microsoft YaHei" w:hAnsi="Microsoft YaHei"/>
          <w:b/>
          <w:color w:val="1A1A1A"/>
        </w:rPr>
        <w:t>机构资金驱动型上涨</w:t>
      </w:r>
      <w:r>
        <w:rPr>
          <w:rFonts w:ascii="Microsoft YaHei" w:hAnsi="Microsoft YaHei"/>
        </w:rPr>
        <w:t xml:space="preserve">。在建筑板块整体承压的背景下，该股逆势大涨2.55%，背后逻辑清晰：① </w:t>
      </w:r>
      <w:r>
        <w:rPr>
          <w:rFonts w:ascii="Microsoft YaHei" w:hAnsi="Microsoft YaHei"/>
          <w:b/>
          <w:color w:val="1A1A1A"/>
        </w:rPr>
        <w:t>低估值破净股（PB 0.57倍）</w:t>
      </w:r>
      <w:r>
        <w:rPr>
          <w:rFonts w:ascii="Microsoft YaHei" w:hAnsi="Microsoft YaHei"/>
        </w:rPr>
        <w:t xml:space="preserve"> 具备安全垫；② </w:t>
      </w:r>
      <w:r>
        <w:rPr>
          <w:rFonts w:ascii="Microsoft YaHei" w:hAnsi="Microsoft YaHei"/>
          <w:b/>
          <w:color w:val="1A1A1A"/>
        </w:rPr>
        <w:t>电力建设龙头</w:t>
      </w:r>
      <w:r>
        <w:rPr>
          <w:rFonts w:ascii="Microsoft YaHei" w:hAnsi="Microsoft YaHei"/>
        </w:rPr>
        <w:t xml:space="preserve">受益于电力投资高景气度；③ </w:t>
      </w:r>
      <w:r>
        <w:rPr>
          <w:rFonts w:ascii="Microsoft YaHei" w:hAnsi="Microsoft YaHei"/>
          <w:b/>
          <w:color w:val="1A1A1A"/>
        </w:rPr>
        <w:t>大单资金积极入场</w:t>
      </w:r>
      <w:r>
        <w:rPr>
          <w:rFonts w:ascii="Microsoft YaHei" w:hAnsi="Microsoft YaHei"/>
        </w:rPr>
        <w:t xml:space="preserve">，半日净流入4518万元；④ </w:t>
      </w:r>
      <w:r>
        <w:rPr>
          <w:rFonts w:ascii="Microsoft YaHei" w:hAnsi="Microsoft YaHei"/>
          <w:b/>
          <w:color w:val="1A1A1A"/>
        </w:rPr>
        <w:t>均线多头排列</w:t>
      </w:r>
      <w:r>
        <w:rPr>
          <w:rFonts w:ascii="Microsoft YaHei" w:hAnsi="Microsoft YaHei"/>
        </w:rPr>
        <w:t>，技术形态向好。</w:t>
      </w:r>
    </w:p>
    <w:p>
      <w:r>
        <w:rPr>
          <w:rFonts w:ascii="Microsoft YaHei" w:hAnsi="Microsoft YaHei"/>
          <w:b/>
          <w:color w:val="1A1A1A"/>
        </w:rPr>
        <w:t>午后关注要点：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布林带上轨4.85元</w:t>
      </w:r>
      <w:r>
        <w:rPr>
          <w:rFonts w:ascii="Microsoft YaHei" w:hAnsi="Microsoft YaHei"/>
        </w:rPr>
        <w:t>的突破情况：若放量突破，短线有望挑战前高；若受阻回落，密切观察MA5（4.82元）的支撑力度</w:t>
      </w:r>
    </w:p>
    <w:p>
      <w:pPr>
        <w:pStyle w:val="ListBullet"/>
      </w:pPr>
      <w:r>
        <w:rPr>
          <w:rFonts w:ascii="Microsoft YaHei" w:hAnsi="Microsoft YaHei"/>
        </w:rPr>
        <w:t>关注建筑央企板块午后能否随大盘回暖而修复，形成板块共振</w:t>
      </w:r>
    </w:p>
    <w:p>
      <w:pPr>
        <w:pStyle w:val="ListBullet"/>
      </w:pPr>
      <w:r>
        <w:rPr>
          <w:rFonts w:ascii="Microsoft YaHei" w:hAnsi="Microsoft YaHei"/>
        </w:rPr>
        <w:t xml:space="preserve">今日半日换手已达1.47%，若午后维持在高位，全天换手率有望达 </w:t>
      </w:r>
      <w:r>
        <w:rPr>
          <w:rFonts w:ascii="Microsoft YaHei" w:hAnsi="Microsoft YaHei"/>
          <w:b/>
          <w:color w:val="1A1A1A"/>
        </w:rPr>
        <w:t>2.5%-3%</w:t>
      </w:r>
      <w:r>
        <w:rPr>
          <w:rFonts w:ascii="Microsoft YaHei" w:hAnsi="Microsoft YaHei"/>
        </w:rPr>
        <w:t>，为近期罕见的高活跃度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以上分析基于现有数据，不构成投资建议。股市有风险，投资需谨慎。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中国电建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