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好的，数据已全部获取完毕。以下为基于盘中数据与相关资讯生成的完整分析报告。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中国石化（600028.SH）午间分析报告</w:t>
      </w:r>
    </w:p>
    <w:p>
      <w:r>
        <w:rPr>
          <w:rFonts w:ascii="Microsoft YaHei" w:hAnsi="Microsoft YaHei"/>
          <w:b/>
          <w:color w:val="1A1A1A"/>
        </w:rPr>
        <w:t>数据截止时间：2026-07-28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今日全市场情绪热度为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，涨跌分布较为均衡：上涨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 / 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只 / 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只。全市场成交额约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，较前一交易日缩量约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。赚钱效应指标为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，市场整体呈震荡分化格局。</w:t>
      </w:r>
    </w:p>
    <w:p>
      <w:r>
        <w:rPr>
          <w:rFonts w:ascii="Microsoft YaHei" w:hAnsi="Microsoft YaHei"/>
        </w:rPr>
        <w:t>风格上，权重蓝筹明显走强。</w:t>
      </w:r>
      <w:r>
        <w:rPr>
          <w:rFonts w:ascii="Microsoft YaHei" w:hAnsi="Microsoft YaHei"/>
          <w:b/>
          <w:color w:val="1A1A1A"/>
        </w:rPr>
        <w:t>上证50</w:t>
      </w:r>
      <w:r>
        <w:rPr>
          <w:rFonts w:ascii="Microsoft YaHei" w:hAnsi="Microsoft YaHei"/>
        </w:rPr>
        <w:t xml:space="preserve"> 板块涨幅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（排名 </w:t>
      </w:r>
      <w:r>
        <w:rPr>
          <w:rFonts w:ascii="Microsoft YaHei" w:hAnsi="Microsoft YaHei"/>
          <w:b/>
          <w:color w:val="1A1A1A"/>
        </w:rPr>
        <w:t>35/1158</w:t>
      </w:r>
      <w:r>
        <w:rPr>
          <w:rFonts w:ascii="Microsoft YaHei" w:hAnsi="Microsoft YaHei"/>
        </w:rPr>
        <w:t>），</w:t>
      </w:r>
      <w:r>
        <w:rPr>
          <w:rFonts w:ascii="Microsoft YaHei" w:hAnsi="Microsoft YaHei"/>
          <w:b/>
          <w:color w:val="1A1A1A"/>
        </w:rPr>
        <w:t>沪深300</w:t>
      </w:r>
      <w:r>
        <w:rPr>
          <w:rFonts w:ascii="Microsoft YaHei" w:hAnsi="Microsoft YaHei"/>
        </w:rPr>
        <w:t xml:space="preserve"> 涨幅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（排名 </w:t>
      </w:r>
      <w:r>
        <w:rPr>
          <w:rFonts w:ascii="Microsoft YaHei" w:hAnsi="Microsoft YaHei"/>
          <w:b/>
          <w:color w:val="1A1A1A"/>
        </w:rPr>
        <w:t>75/1158</w:t>
      </w:r>
      <w:r>
        <w:rPr>
          <w:rFonts w:ascii="Microsoft YaHei" w:hAnsi="Microsoft YaHei"/>
        </w:rPr>
        <w:t>），大市值个股获得资金集中关注。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5.24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+4.17%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5.03 / 5.05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5.24 / 5.04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535.88 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2.77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3.98%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5.17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9.32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0.77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6,336.5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4,965.03 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量价特征</w:t>
      </w:r>
    </w:p>
    <w:p>
      <w:pPr>
        <w:pStyle w:val="ListBullet"/>
      </w:pPr>
      <w:r>
        <w:rPr>
          <w:rFonts w:ascii="Microsoft YaHei" w:hAnsi="Microsoft YaHei"/>
        </w:rPr>
        <w:t>今日高开（</w:t>
      </w:r>
      <w:r>
        <w:rPr>
          <w:rFonts w:ascii="Microsoft YaHei" w:hAnsi="Microsoft YaHei"/>
          <w:b/>
          <w:color w:val="1A1A1A"/>
        </w:rPr>
        <w:t>5.05元</w:t>
      </w:r>
      <w:r>
        <w:rPr>
          <w:rFonts w:ascii="Microsoft YaHei" w:hAnsi="Microsoft YaHei"/>
        </w:rPr>
        <w:t xml:space="preserve">）后一路震荡上行，收于日内最高价 </w:t>
      </w:r>
      <w:r>
        <w:rPr>
          <w:rFonts w:ascii="Microsoft YaHei" w:hAnsi="Microsoft YaHei"/>
          <w:b/>
          <w:color w:val="1A1A1A"/>
        </w:rPr>
        <w:t>5.24元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+4.17%</w:t>
      </w:r>
      <w:r>
        <w:rPr>
          <w:rFonts w:ascii="Microsoft YaHei" w:hAnsi="Microsoft YaHei"/>
        </w:rPr>
        <w:t>，为近阶段单日最大涨幅。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0.57%</w:t>
      </w:r>
      <w:r>
        <w:rPr>
          <w:rFonts w:ascii="Microsoft YaHei" w:hAnsi="Microsoft YaHei"/>
        </w:rPr>
        <w:t xml:space="preserve">，较上一交易日日终 </w:t>
      </w:r>
      <w:r>
        <w:rPr>
          <w:rFonts w:ascii="Microsoft YaHei" w:hAnsi="Microsoft YaHei"/>
          <w:b/>
          <w:color w:val="1A1A1A"/>
        </w:rPr>
        <w:t>0.2285%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约 2.49 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明显放量拉升</w:t>
      </w:r>
      <w:r>
        <w:rPr>
          <w:rFonts w:ascii="Microsoft YaHei" w:hAnsi="Microsoft YaHei"/>
        </w:rPr>
        <w:t xml:space="preserve">。量比 </w:t>
      </w:r>
      <w:r>
        <w:rPr>
          <w:rFonts w:ascii="Microsoft YaHei" w:hAnsi="Microsoft YaHei"/>
          <w:b/>
          <w:color w:val="1A1A1A"/>
        </w:rPr>
        <w:t>1.64</w:t>
      </w:r>
      <w:r>
        <w:rPr>
          <w:rFonts w:ascii="Microsoft YaHei" w:hAnsi="Microsoft YaHei"/>
        </w:rPr>
        <w:t xml:space="preserve"> 进一步佐证交投活跃。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 340.58 万手 / 内盘 195.30 万手</w:t>
      </w:r>
      <w:r>
        <w:rPr>
          <w:rFonts w:ascii="Microsoft YaHei" w:hAnsi="Microsoft YaHei"/>
        </w:rPr>
        <w:t xml:space="preserve">，外盘占比约 </w:t>
      </w:r>
      <w:r>
        <w:rPr>
          <w:rFonts w:ascii="Microsoft YaHei" w:hAnsi="Microsoft YaHei"/>
          <w:b/>
          <w:color w:val="1A1A1A"/>
        </w:rPr>
        <w:t>63.6%</w:t>
      </w:r>
      <w:r>
        <w:rPr>
          <w:rFonts w:ascii="Microsoft YaHei" w:hAnsi="Microsoft YaHei"/>
        </w:rPr>
        <w:t>，买方力量显著占优。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估值分析</w:t>
      </w:r>
    </w:p>
    <w:p>
      <w:r>
        <w:rPr>
          <w:rFonts w:ascii="Microsoft YaHei" w:hAnsi="Microsoft YaHei"/>
        </w:rPr>
        <w:t xml:space="preserve">当前动态市盈率 </w:t>
      </w:r>
      <w:r>
        <w:rPr>
          <w:rFonts w:ascii="Microsoft YaHei" w:hAnsi="Microsoft YaHei"/>
          <w:b/>
          <w:color w:val="1A1A1A"/>
        </w:rPr>
        <w:t>9.32 倍</w:t>
      </w:r>
      <w:r>
        <w:rPr>
          <w:rFonts w:ascii="Microsoft YaHei" w:hAnsi="Microsoft YaHei"/>
        </w:rPr>
        <w:t xml:space="preserve">，市净率 </w:t>
      </w:r>
      <w:r>
        <w:rPr>
          <w:rFonts w:ascii="Microsoft YaHei" w:hAnsi="Microsoft YaHei"/>
          <w:b/>
          <w:color w:val="1A1A1A"/>
        </w:rPr>
        <w:t>0.77 倍</w:t>
      </w:r>
      <w:r>
        <w:rPr>
          <w:rFonts w:ascii="Microsoft YaHei" w:hAnsi="Microsoft YaHei"/>
        </w:rPr>
        <w:t xml:space="preserve">。作为大型央企能源龙头，P/B 仍处于 </w:t>
      </w:r>
      <w:r>
        <w:rPr>
          <w:rFonts w:ascii="Microsoft YaHei" w:hAnsi="Microsoft YaHei"/>
          <w:b/>
          <w:color w:val="1A1A1A"/>
        </w:rPr>
        <w:t>破净状态</w:t>
      </w:r>
      <w:r>
        <w:rPr>
          <w:rFonts w:ascii="Microsoft YaHei" w:hAnsi="Microsoft YaHei"/>
        </w:rPr>
        <w:t xml:space="preserve">，估值安全边际充足。相比上一个交易日日终 PE（约 </w:t>
      </w:r>
      <w:r>
        <w:rPr>
          <w:rFonts w:ascii="Microsoft YaHei" w:hAnsi="Microsoft YaHei"/>
          <w:b/>
          <w:color w:val="1A1A1A"/>
        </w:rPr>
        <w:t>19.58 倍</w:t>
      </w:r>
      <w:r>
        <w:rPr>
          <w:rFonts w:ascii="Microsoft YaHei" w:hAnsi="Microsoft YaHei"/>
        </w:rPr>
        <w:t>）的显著下降，主要是今日大涨叠加盈利周期因素所致。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实时资金流向（逐分钟统计）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3,333.79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146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92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2,181.7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3,393.2 万元</w:t>
            </w:r>
          </w:p>
        </w:tc>
      </w:tr>
    </w:tbl>
    <w:p/>
    <w:p>
      <w:r>
        <w:rPr>
          <w:rFonts w:ascii="Microsoft YaHei" w:hAnsi="Microsoft YaHei"/>
        </w:rPr>
        <w:t xml:space="preserve">资金流入时长占比 </w:t>
      </w:r>
      <w:r>
        <w:rPr>
          <w:rFonts w:ascii="Microsoft YaHei" w:hAnsi="Microsoft YaHei"/>
          <w:b/>
          <w:color w:val="1A1A1A"/>
        </w:rPr>
        <w:t>61.3%</w:t>
      </w:r>
      <w:r>
        <w:rPr>
          <w:rFonts w:ascii="Microsoft YaHei" w:hAnsi="Microsoft YaHei"/>
        </w:rPr>
        <w:t>，整体呈净流入态势。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-6,798.82 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+5,140.36 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+4,992.26 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+3,333.79 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>上一交易日大单呈净流出态势，而中单和小单承接买入。今日实时资金转为</w:t>
      </w:r>
      <w:r>
        <w:rPr>
          <w:rFonts w:ascii="Microsoft YaHei" w:hAnsi="Microsoft YaHei"/>
          <w:b/>
          <w:color w:val="1A1A1A"/>
        </w:rPr>
        <w:t>净流入</w:t>
      </w:r>
      <w:r>
        <w:rPr>
          <w:rFonts w:ascii="Microsoft YaHei" w:hAnsi="Microsoft YaHei"/>
        </w:rPr>
        <w:t>，表明主力资金态度有所回暖。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18.15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-1.68%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0.15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+2.64%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 xml:space="preserve">融资余额占流通市值比例约 </w:t>
      </w:r>
      <w:r>
        <w:rPr>
          <w:rFonts w:ascii="Microsoft YaHei" w:hAnsi="Microsoft YaHei"/>
          <w:b/>
          <w:color w:val="1A1A1A"/>
        </w:rPr>
        <w:t>0.37%</w:t>
      </w:r>
      <w:r>
        <w:rPr>
          <w:rFonts w:ascii="Microsoft YaHei" w:hAnsi="Microsoft YaHei"/>
        </w:rPr>
        <w:t xml:space="preserve">，超过近一年 </w:t>
      </w:r>
      <w:r>
        <w:rPr>
          <w:rFonts w:ascii="Microsoft YaHei" w:hAnsi="Microsoft YaHei"/>
          <w:b/>
          <w:color w:val="1A1A1A"/>
        </w:rPr>
        <w:t>60%分位</w:t>
      </w:r>
      <w:r>
        <w:rPr>
          <w:rFonts w:ascii="Microsoft YaHei" w:hAnsi="Microsoft YaHei"/>
        </w:rPr>
        <w:t>水平，显示杠杆资金对该股关注度处于偏高位。昨日融资小幅净偿还，可能与市场震荡有关。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均线系统与布林带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MA5（~5.18）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在其上方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MA10（~5.09）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在其上方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布林中轨（~4.89）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在其上方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布林带上轨（5.35）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在其下方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布林带下轨（4.43）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多头排列强化</w:t>
      </w:r>
      <w:r>
        <w:rPr>
          <w:rFonts w:ascii="Microsoft YaHei" w:hAnsi="Microsoft YaHei"/>
        </w:rPr>
        <w:t>：价格站稳 MA5（5.18）、MA10（5.09）和 MA20（4.89）三线之上，且三条均线呈向上发散态势，典型的多头排列格局。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突破布林中轨</w:t>
      </w:r>
      <w:r>
        <w:rPr>
          <w:rFonts w:ascii="Microsoft YaHei" w:hAnsi="Microsoft YaHei"/>
        </w:rPr>
        <w:t xml:space="preserve">：价格在 4.89 元（布林中轨）附近获得有效支撑后连续拉升，当前已上行至 </w:t>
      </w:r>
      <w:r>
        <w:rPr>
          <w:rFonts w:ascii="Microsoft YaHei" w:hAnsi="Microsoft YaHei"/>
          <w:b/>
          <w:color w:val="1A1A1A"/>
        </w:rPr>
        <w:t>5.24元</w:t>
      </w:r>
      <w:r>
        <w:rPr>
          <w:rFonts w:ascii="Microsoft YaHei" w:hAnsi="Microsoft YaHei"/>
        </w:rPr>
        <w:t xml:space="preserve">，距离布林带上轨 </w:t>
      </w:r>
      <w:r>
        <w:rPr>
          <w:rFonts w:ascii="Microsoft YaHei" w:hAnsi="Microsoft YaHei"/>
          <w:b/>
          <w:color w:val="1A1A1A"/>
        </w:rPr>
        <w:t>5.35元</w:t>
      </w:r>
      <w:r>
        <w:rPr>
          <w:rFonts w:ascii="Microsoft YaHei" w:hAnsi="Microsoft YaHei"/>
        </w:rPr>
        <w:t xml:space="preserve"> 仅约 </w:t>
      </w:r>
      <w:r>
        <w:rPr>
          <w:rFonts w:ascii="Microsoft YaHei" w:hAnsi="Microsoft YaHei"/>
          <w:b/>
          <w:color w:val="1A1A1A"/>
        </w:rPr>
        <w:t>2.1%</w:t>
      </w:r>
      <w:r>
        <w:rPr>
          <w:rFonts w:ascii="Microsoft YaHei" w:hAnsi="Microsoft YaHei"/>
        </w:rPr>
        <w:t xml:space="preserve"> 的空间。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偏离度预警</w:t>
      </w:r>
      <w:r>
        <w:rPr>
          <w:rFonts w:ascii="Microsoft YaHei" w:hAnsi="Microsoft YaHei"/>
        </w:rPr>
        <w:t xml:space="preserve">：相较于 MA20 的偏离度已达 </w:t>
      </w:r>
      <w:r>
        <w:rPr>
          <w:rFonts w:ascii="Microsoft YaHei" w:hAnsi="Microsoft YaHei"/>
          <w:b/>
          <w:color w:val="1A1A1A"/>
        </w:rPr>
        <w:t>+7.2%</w:t>
      </w:r>
      <w:r>
        <w:rPr>
          <w:rFonts w:ascii="Microsoft YaHei" w:hAnsi="Microsoft YaHei"/>
        </w:rPr>
        <w:t>，短期技术上存在一定回调整固需求，但强势行情下偏离可进一步放大。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：量比 </w:t>
      </w:r>
      <w:r>
        <w:rPr>
          <w:rFonts w:ascii="Microsoft YaHei" w:hAnsi="Microsoft YaHei"/>
          <w:b/>
          <w:color w:val="1A1A1A"/>
        </w:rPr>
        <w:t>1.64</w:t>
      </w:r>
      <w:r>
        <w:rPr>
          <w:rFonts w:ascii="Microsoft YaHei" w:hAnsi="Microsoft YaHei"/>
        </w:rPr>
        <w:t xml:space="preserve"> 配合价格上攻，属于健康的放量突破形态。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重要资讯解读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标题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影响判断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07:14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光大证券：地缘风险累积油价波动加剧 "三桶油"战略价值凸显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利好</w:t>
            </w:r>
            <w:r>
              <w:rPr>
                <w:rFonts w:ascii="Microsoft YaHei" w:hAnsi="Microsoft YaHei"/>
                <w:sz w:val="18"/>
              </w:rPr>
              <w:t xml:space="preserve"> —— 券商明确看多"三桶油"战略配置价值，直接提振市场情绪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09:05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【期股联动】原油盘中暴跌超5%！美伊停火与海峡通航预期重挫油价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结构利好</w:t>
            </w:r>
            <w:r>
              <w:rPr>
                <w:rFonts w:ascii="Microsoft YaHei" w:hAnsi="Microsoft YaHei"/>
                <w:sz w:val="18"/>
              </w:rPr>
              <w:t xml:space="preserve"> —— 原油价格暴跌对上游勘探（中石油/中海油）偏空，但对中下游炼化（中国石化）构成成本端利好，炼油毛利有望扩张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07:55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中国石化：7月27日获融资买入6,249.66万元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偏正面</w:t>
            </w:r>
            <w:r>
              <w:rPr>
                <w:rFonts w:ascii="Microsoft YaHei" w:hAnsi="Microsoft YaHei"/>
                <w:sz w:val="18"/>
              </w:rPr>
              <w:t xml:space="preserve"> —— 融资资金积极买入，杠杆资金看好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14:57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中国石化首个地方碳普惠项目落地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长期利好</w:t>
            </w:r>
            <w:r>
              <w:rPr>
                <w:rFonts w:ascii="Microsoft YaHei" w:hAnsi="Microsoft YaHei"/>
                <w:sz w:val="18"/>
              </w:rPr>
              <w:t xml:space="preserve"> —— 表明公司在绿色低碳转型方面迈出实质一步，有利于ESG估值提升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投资213亿元，提质升级项目9个标段工程全面招标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中性偏利好</w:t>
            </w:r>
            <w:r>
              <w:rPr>
                <w:rFonts w:ascii="Microsoft YaHei" w:hAnsi="Microsoft YaHei"/>
                <w:sz w:val="18"/>
              </w:rPr>
              <w:t xml:space="preserve"> —— 大规模资本开支表明公司持续投入产业升级，但需关注后续回报周期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07:28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中国石化H股公告-翌日披露表格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中性</w:t>
            </w:r>
            <w:r>
              <w:rPr>
                <w:rFonts w:ascii="Microsoft YaHei" w:hAnsi="Microsoft YaHei"/>
                <w:sz w:val="18"/>
              </w:rPr>
              <w:t xml:space="preserve"> —— 常规披露事项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核心逻辑梳理</w:t>
      </w:r>
    </w:p>
    <w:p>
      <w:r>
        <w:rPr>
          <w:rFonts w:ascii="Microsoft YaHei" w:hAnsi="Microsoft YaHei"/>
        </w:rPr>
        <w:t>今日中国石化大涨的核心驱动逻辑在于：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"三桶油"战略配置逻辑</w:t>
      </w:r>
      <w:r>
        <w:rPr>
          <w:rFonts w:ascii="Microsoft YaHei" w:hAnsi="Microsoft YaHei"/>
        </w:rPr>
        <w:t xml:space="preserve">：光大证券等机构近期强调地缘风险下能源安全主线，叠加国企估值重估，"三桶油"作为央企能源龙头获得资金集中买入。从板块联动看，中国石油 </w:t>
      </w:r>
      <w:r>
        <w:rPr>
          <w:rFonts w:ascii="Microsoft YaHei" w:hAnsi="Microsoft YaHei"/>
          <w:b/>
          <w:color w:val="1A1A1A"/>
        </w:rPr>
        <w:t>+7.00%</w:t>
      </w:r>
      <w:r>
        <w:rPr>
          <w:rFonts w:ascii="Microsoft YaHei" w:hAnsi="Microsoft YaHei"/>
        </w:rPr>
        <w:t xml:space="preserve">、广汇能源 </w:t>
      </w:r>
      <w:r>
        <w:rPr>
          <w:rFonts w:ascii="Microsoft YaHei" w:hAnsi="Microsoft YaHei"/>
          <w:b/>
          <w:color w:val="1A1A1A"/>
        </w:rPr>
        <w:t>+5.88%</w:t>
      </w:r>
      <w:r>
        <w:rPr>
          <w:rFonts w:ascii="Microsoft YaHei" w:hAnsi="Microsoft YaHei"/>
        </w:rPr>
        <w:t xml:space="preserve">、中国石化 </w:t>
      </w:r>
      <w:r>
        <w:rPr>
          <w:rFonts w:ascii="Microsoft YaHei" w:hAnsi="Microsoft YaHei"/>
          <w:b/>
          <w:color w:val="1A1A1A"/>
        </w:rPr>
        <w:t>+4.17%</w:t>
      </w:r>
      <w:r>
        <w:rPr>
          <w:rFonts w:ascii="Microsoft YaHei" w:hAnsi="Microsoft YaHei"/>
        </w:rPr>
        <w:t>，板块内形成共振。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原油暴跌的炼化红利</w:t>
      </w:r>
      <w:r>
        <w:rPr>
          <w:rFonts w:ascii="Microsoft YaHei" w:hAnsi="Microsoft YaHei"/>
        </w:rPr>
        <w:t xml:space="preserve">：国际原油盘中暴跌超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>，美伊停火预期与霍尔木兹海峡通航恢复预期压制油价。对于中国石化这类以</w:t>
      </w:r>
      <w:r>
        <w:rPr>
          <w:rFonts w:ascii="Microsoft YaHei" w:hAnsi="Microsoft YaHei"/>
          <w:b/>
          <w:color w:val="1A1A1A"/>
        </w:rPr>
        <w:t>炼化、成品油销售</w:t>
      </w:r>
      <w:r>
        <w:rPr>
          <w:rFonts w:ascii="Microsoft YaHei" w:hAnsi="Microsoft YaHei"/>
        </w:rPr>
        <w:t>为核心业务的企业而言，原油成本下降将直接增厚炼油毛利，属于</w:t>
      </w:r>
      <w:r>
        <w:rPr>
          <w:rFonts w:ascii="Microsoft YaHei" w:hAnsi="Microsoft YaHei"/>
          <w:b/>
          <w:color w:val="1A1A1A"/>
        </w:rPr>
        <w:t>结构性利好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领涨个股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综合性石油与天然气企业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+5.68%</w:t>
            </w:r>
            <w:r>
              <w:rPr>
                <w:rFonts w:ascii="Microsoft YaHei" w:hAnsi="Microsoft YaHei"/>
                <w:sz w:val="18"/>
              </w:rPr>
              <w:t xml:space="preserve">（第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7/1158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中国石油 +7.00%、广汇能源 +5.88%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石油、天然气与消费用燃料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+2.94%（第 36/1158）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26/57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潜能恒信 +11.68%、中国海油 +10.01%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+2.62%（第 39/1158）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36/83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通源石油 +16.41%、潜能恒信 +11.68%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上证50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  <w:r>
              <w:rPr>
                <w:rFonts w:ascii="Microsoft YaHei" w:hAnsi="Microsoft YaHei"/>
                <w:sz w:val="18"/>
              </w:rPr>
              <w:t>（第 35/1158）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金山办公 +9.29%、中国铝业 +8.65%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+1.57%（第 75/1158）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中国海油 +10.01%、古井贡酒 +10.00%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板块联动特征显著</w:t>
      </w:r>
      <w:r>
        <w:rPr>
          <w:rFonts w:ascii="Microsoft YaHei" w:hAnsi="Microsoft YaHei"/>
        </w:rPr>
        <w:t>：在"综合性石油与天然气企业"板块中，3只成分股</w:t>
      </w:r>
      <w:r>
        <w:rPr>
          <w:rFonts w:ascii="Microsoft YaHei" w:hAnsi="Microsoft YaHei"/>
          <w:b/>
          <w:color w:val="1A1A1A"/>
        </w:rPr>
        <w:t>全线上涨</w:t>
      </w:r>
      <w:r>
        <w:rPr>
          <w:rFonts w:ascii="Microsoft YaHei" w:hAnsi="Microsoft YaHei"/>
        </w:rPr>
        <w:t xml:space="preserve">，板块涨幅高达 </w:t>
      </w:r>
      <w:r>
        <w:rPr>
          <w:rFonts w:ascii="Microsoft YaHei" w:hAnsi="Microsoft YaHei"/>
          <w:b/>
          <w:color w:val="1A1A1A"/>
        </w:rPr>
        <w:t>+5.68%</w:t>
      </w:r>
      <w:r>
        <w:rPr>
          <w:rFonts w:ascii="Microsoft YaHei" w:hAnsi="Microsoft YaHei"/>
        </w:rPr>
        <w:t xml:space="preserve">，名列全市场第 </w:t>
      </w:r>
      <w:r>
        <w:rPr>
          <w:rFonts w:ascii="Microsoft YaHei" w:hAnsi="Microsoft YaHei"/>
          <w:b/>
          <w:color w:val="1A1A1A"/>
        </w:rPr>
        <w:t>7 位</w:t>
      </w:r>
      <w:r>
        <w:rPr>
          <w:rFonts w:ascii="Microsoft YaHei" w:hAnsi="Microsoft YaHei"/>
        </w:rPr>
        <w:t xml:space="preserve">。中国石化在该板块排名第 </w:t>
      </w:r>
      <w:r>
        <w:rPr>
          <w:rFonts w:ascii="Microsoft YaHei" w:hAnsi="Microsoft YaHei"/>
          <w:b/>
          <w:color w:val="1A1A1A"/>
        </w:rPr>
        <w:t>3/3</w:t>
      </w:r>
      <w:r>
        <w:rPr>
          <w:rFonts w:ascii="Microsoft YaHei" w:hAnsi="Microsoft YaHei"/>
        </w:rPr>
        <w:t>，略跑输中国石油和广汇能源，主要因上游权重较低、炼化属性更强。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趋势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强势多头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价格站稳 MA5/MA10/MA20 三线之上，均线发散向上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有效放量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 0.57% 为前一交易日 2.49 倍，量比 1.64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中性偏暖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实时净流入 3,333.79 万，扭转前期大单流出态势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安全边际充足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9.32 倍、PB 0.77 倍（破净），央企信用背书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多因素共振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原油暴跌利好炼化毛利 + "三桶油"战略价值重估 + 融资加仓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龙头联动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石油板块集体大涨，板块内龙头同步走强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主力观点总结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中国石化今日放量大涨 </w:t>
      </w:r>
      <w:r>
        <w:rPr>
          <w:rFonts w:ascii="Microsoft YaHei" w:hAnsi="Microsoft YaHei"/>
          <w:b/>
          <w:color w:val="1A1A1A"/>
        </w:rPr>
        <w:t>+4.17%</w:t>
      </w:r>
      <w:r>
        <w:rPr>
          <w:rFonts w:ascii="Microsoft YaHei" w:hAnsi="Microsoft YaHei"/>
        </w:rPr>
        <w:t>，突破多重均线压制，呈现典型的</w:t>
      </w:r>
      <w:r>
        <w:rPr>
          <w:rFonts w:ascii="Microsoft YaHei" w:hAnsi="Microsoft YaHei"/>
          <w:b/>
          <w:color w:val="1A1A1A"/>
        </w:rPr>
        <w:t>放量突破</w:t>
      </w:r>
      <w:r>
        <w:rPr>
          <w:rFonts w:ascii="Microsoft YaHei" w:hAnsi="Microsoft YaHei"/>
        </w:rPr>
        <w:t>形态。核心驱动来自两方面：</w:t>
      </w:r>
      <w:r>
        <w:rPr>
          <w:rFonts w:ascii="Microsoft YaHei" w:hAnsi="Microsoft YaHei"/>
          <w:b/>
          <w:color w:val="1A1A1A"/>
        </w:rPr>
        <w:t>原油价格暴跌降低炼化成本</w:t>
      </w:r>
      <w:r>
        <w:rPr>
          <w:rFonts w:ascii="Microsoft YaHei" w:hAnsi="Microsoft YaHei"/>
        </w:rPr>
        <w:t xml:space="preserve">（结构性利好），以及 </w:t>
      </w:r>
      <w:r>
        <w:rPr>
          <w:rFonts w:ascii="Microsoft YaHei" w:hAnsi="Microsoft YaHei"/>
          <w:b/>
          <w:color w:val="1A1A1A"/>
        </w:rPr>
        <w:t>"三桶油"央企战略价值重估逻辑</w:t>
      </w:r>
      <w:r>
        <w:rPr>
          <w:rFonts w:ascii="Microsoft YaHei" w:hAnsi="Microsoft YaHei"/>
        </w:rPr>
        <w:t xml:space="preserve">获得市场认可。估值层面，PB </w:t>
      </w:r>
      <w:r>
        <w:rPr>
          <w:rFonts w:ascii="Microsoft YaHei" w:hAnsi="Microsoft YaHei"/>
          <w:b/>
          <w:color w:val="1A1A1A"/>
        </w:rPr>
        <w:t>0.77 倍</w:t>
      </w:r>
      <w:r>
        <w:rPr>
          <w:rFonts w:ascii="Microsoft YaHei" w:hAnsi="Microsoft YaHei"/>
        </w:rPr>
        <w:t>的破净状态为中长期配置提供了安全垫。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短期偏离 MA20 已达 </w:t>
      </w:r>
      <w:r>
        <w:rPr>
          <w:rFonts w:ascii="Microsoft YaHei" w:hAnsi="Microsoft YaHei"/>
          <w:b/>
          <w:color w:val="1A1A1A"/>
        </w:rPr>
        <w:t>+7.2%</w:t>
      </w:r>
      <w:r>
        <w:rPr>
          <w:rFonts w:ascii="Microsoft YaHei" w:hAnsi="Microsoft YaHei"/>
        </w:rPr>
        <w:t xml:space="preserve">，且股价距布林上轨（5.35 元）仅 </w:t>
      </w:r>
      <w:r>
        <w:rPr>
          <w:rFonts w:ascii="Microsoft YaHei" w:hAnsi="Microsoft YaHei"/>
          <w:b/>
          <w:color w:val="1A1A1A"/>
        </w:rPr>
        <w:t>2.1%</w:t>
      </w:r>
      <w:r>
        <w:rPr>
          <w:rFonts w:ascii="Microsoft YaHei" w:hAnsi="Microsoft YaHei"/>
        </w:rPr>
        <w:t>，短线存在技术性回调压力</w:t>
      </w:r>
    </w:p>
    <w:p>
      <w:pPr>
        <w:pStyle w:val="ListBullet"/>
      </w:pPr>
      <w:r>
        <w:rPr>
          <w:rFonts w:ascii="Microsoft YaHei" w:hAnsi="Microsoft YaHei"/>
        </w:rPr>
        <w:t>原油价格若出现反复（地缘局势反转），炼化成本逻辑可能弱化</w:t>
      </w:r>
    </w:p>
    <w:p>
      <w:pPr>
        <w:pStyle w:val="ListBullet"/>
      </w:pPr>
      <w:r>
        <w:rPr>
          <w:rFonts w:ascii="Microsoft YaHei" w:hAnsi="Microsoft YaHei"/>
        </w:rPr>
        <w:t>整体市场情绪一般（热度 43），若大盘走弱可能拖累个股表现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：本报告基于公开数据分析，仅供参考，不构成投资建议。投资有风险，入市需谨慎。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中国石化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