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正文获取超时，我将基于已有数据和标题摘要信息进行分析。以下是完整的午间分析报告：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中国石油（601857.SH）午间分析报告</w:t>
      </w:r>
    </w:p>
    <w:p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 xml:space="preserve">：2026年7月28日 11:30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：11.01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+7.00%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一、市场概况</w:t>
      </w:r>
    </w:p>
    <w:p>
      <w:r>
        <w:rPr>
          <w:rFonts w:ascii="Microsoft YaHei" w:hAnsi="Microsoft YaHei"/>
        </w:rPr>
        <w:t xml:space="preserve">今日全市场成交额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），涨跌家数比为 </w:t>
      </w:r>
      <w:r>
        <w:rPr>
          <w:rFonts w:ascii="Microsoft YaHei" w:hAnsi="Microsoft YaHei"/>
          <w:b/>
          <w:color w:val="1A1A1A"/>
        </w:rPr>
        <w:t>2603:2769</w:t>
      </w:r>
      <w:r>
        <w:rPr>
          <w:rFonts w:ascii="Microsoft YaHei" w:hAnsi="Microsoft YaHei"/>
        </w:rPr>
        <w:t xml:space="preserve">，涨停68只/跌停50只，市场热度评分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尽管整体市场情绪中性偏弱，但呈现明显的 </w:t>
      </w:r>
      <w:r>
        <w:rPr>
          <w:rFonts w:ascii="Microsoft YaHei" w:hAnsi="Microsoft YaHei"/>
          <w:b/>
          <w:color w:val="1A1A1A"/>
        </w:rPr>
        <w:t>"二八分化"</w:t>
      </w:r>
      <w:r>
        <w:rPr>
          <w:rFonts w:ascii="Microsoft YaHei" w:hAnsi="Microsoft YaHei"/>
        </w:rPr>
        <w:t xml:space="preserve"> 格局：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指数板块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51涨/4跌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255涨/63跌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全市场（融资融券板块）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1464涨/2005跌</w:t>
            </w:r>
          </w:p>
        </w:tc>
      </w:tr>
    </w:tbl>
    <w:p/>
    <w:p>
      <w:r>
        <w:rPr>
          <w:rFonts w:ascii="Microsoft YaHei" w:hAnsi="Microsoft YaHei"/>
        </w:rPr>
        <w:t xml:space="preserve">大市值蓝筹股显著跑赢中小盘，资金向权重股聚集特征明显。中国石油在上证50中排名 </w:t>
      </w:r>
      <w:r>
        <w:rPr>
          <w:rFonts w:ascii="Microsoft YaHei" w:hAnsi="Microsoft YaHei"/>
          <w:b/>
          <w:color w:val="1A1A1A"/>
        </w:rPr>
        <w:t>第3/55</w:t>
      </w:r>
      <w:r>
        <w:rPr>
          <w:rFonts w:ascii="Microsoft YaHei" w:hAnsi="Microsoft YaHei"/>
        </w:rPr>
        <w:t>，领涨效应突出。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二、个股核心数据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10.37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11.11</w:t>
            </w:r>
            <w:r>
              <w:rPr>
                <w:rFonts w:ascii="Microsoft YaHei" w:hAnsi="Microsoft YaHei"/>
                <w:sz w:val="18"/>
              </w:rPr>
              <w:t xml:space="preserve"> / 10.36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大幅跳空高开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+7.00%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 7.29%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380.03万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量比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1.59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409,857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换手率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0.23%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10.42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市净率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1.28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20,150.61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 17,827.62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量价特征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0.23%</w:t>
      </w:r>
      <w:r>
        <w:rPr>
          <w:rFonts w:ascii="Microsoft YaHei" w:hAnsi="Microsoft YaHei"/>
        </w:rPr>
        <w:t xml:space="preserve">，较上一交易日全天换手率 </w:t>
      </w:r>
      <w:r>
        <w:rPr>
          <w:rFonts w:ascii="Microsoft YaHei" w:hAnsi="Microsoft YaHei"/>
          <w:b/>
          <w:color w:val="1A1A1A"/>
        </w:rPr>
        <w:t>0.1441%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60%</w:t>
      </w:r>
      <w:r>
        <w:rPr>
          <w:rFonts w:ascii="Microsoft YaHei" w:hAnsi="Microsoft YaHei"/>
        </w:rPr>
        <w:t xml:space="preserve">，属于明显的 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。外盘 </w:t>
      </w:r>
      <w:r>
        <w:rPr>
          <w:rFonts w:ascii="Microsoft YaHei" w:hAnsi="Microsoft YaHei"/>
          <w:b/>
          <w:color w:val="1A1A1A"/>
        </w:rPr>
        <w:t>199.96万手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180.07万手</w:t>
      </w:r>
      <w:r>
        <w:rPr>
          <w:rFonts w:ascii="Microsoft YaHei" w:hAnsi="Microsoft YaHei"/>
        </w:rPr>
        <w:t>，买方力量占优。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三、资金面分析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净流入 1.65 亿元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127分钟</w:t>
      </w:r>
      <w:r>
        <w:rPr>
          <w:rFonts w:ascii="Microsoft YaHei" w:hAnsi="Microsoft YaHei"/>
        </w:rPr>
        <w:t xml:space="preserve"> / 流出分钟数：111分钟</w:t>
      </w:r>
    </w:p>
    <w:p>
      <w:pPr>
        <w:pStyle w:val="ListBullet"/>
      </w:pPr>
      <w:r>
        <w:rPr>
          <w:rFonts w:ascii="Microsoft YaHei" w:hAnsi="Microsoft YaHei"/>
        </w:rPr>
        <w:t>最大单分钟流入：4,363.4万 / 最大单分钟流出：5,679.4万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卖出额（元）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+13,386,908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139,314,725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125,927,817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+131,059,935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677,439,512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546,379,577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+20,403,316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243,526,548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223,123,232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+164,850,159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1,060,280,785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895,430,626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：昨日全日已录得 </w:t>
      </w:r>
      <w:r>
        <w:rPr>
          <w:rFonts w:ascii="Microsoft YaHei" w:hAnsi="Microsoft YaHei"/>
          <w:b/>
          <w:color w:val="1A1A1A"/>
        </w:rPr>
        <w:t>1.65亿净流入</w:t>
      </w:r>
      <w:r>
        <w:rPr>
          <w:rFonts w:ascii="Microsoft YaHei" w:hAnsi="Microsoft YaHei"/>
        </w:rPr>
        <w:t xml:space="preserve">，今日半日再度净流入 </w:t>
      </w:r>
      <w:r>
        <w:rPr>
          <w:rFonts w:ascii="Microsoft YaHei" w:hAnsi="Microsoft YaHei"/>
          <w:b/>
          <w:color w:val="1A1A1A"/>
        </w:rPr>
        <w:t>1.65亿</w:t>
      </w:r>
      <w:r>
        <w:rPr>
          <w:rFonts w:ascii="Microsoft YaHei" w:hAnsi="Microsoft YaHei"/>
        </w:rPr>
        <w:t xml:space="preserve">，资金流入节奏加快。中单净流入 </w:t>
      </w:r>
      <w:r>
        <w:rPr>
          <w:rFonts w:ascii="Microsoft YaHei" w:hAnsi="Microsoft YaHei"/>
          <w:b/>
          <w:color w:val="1A1A1A"/>
        </w:rPr>
        <w:t>1.31亿</w:t>
      </w:r>
      <w:r>
        <w:rPr>
          <w:rFonts w:ascii="Microsoft YaHei" w:hAnsi="Microsoft YaHei"/>
        </w:rPr>
        <w:t xml:space="preserve"> 占比最大，显示机构及大户资金为主要推动力。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15.37亿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0.37亿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+22.36%</w:t>
            </w:r>
          </w:p>
        </w:tc>
      </w:tr>
    </w:tbl>
    <w:p/>
    <w:p>
      <w:r>
        <w:rPr>
          <w:rFonts w:ascii="Microsoft YaHei" w:hAnsi="Microsoft YaHei"/>
        </w:rPr>
        <w:t>融资余额温和上升，融券余额虽有较大比例增幅但绝对规模极小（0.37亿），对股价影响有限，整体做多情绪占主导。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四、技术面分析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11.01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10.78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强势站稳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10.39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9.71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+13.4%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大幅偏离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11.25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接近上轨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短中期均线多头排列</w:t>
      </w:r>
      <w:r>
        <w:rPr>
          <w:rFonts w:ascii="Microsoft YaHei" w:hAnsi="Microsoft YaHei"/>
        </w:rPr>
        <w:t>：MA5（10.78）&gt; MA10（10.39）&gt; MA20（9.71），上涨趋势明确。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强势跳空突破</w:t>
      </w:r>
      <w:r>
        <w:rPr>
          <w:rFonts w:ascii="Microsoft YaHei" w:hAnsi="Microsoft YaHei"/>
        </w:rPr>
        <w:t xml:space="preserve">：今日开盘价 </w:t>
      </w:r>
      <w:r>
        <w:rPr>
          <w:rFonts w:ascii="Microsoft YaHei" w:hAnsi="Microsoft YaHei"/>
          <w:b/>
          <w:color w:val="1A1A1A"/>
        </w:rPr>
        <w:t>10.37</w:t>
      </w:r>
      <w:r>
        <w:rPr>
          <w:rFonts w:ascii="Microsoft YaHei" w:hAnsi="Microsoft YaHei"/>
        </w:rPr>
        <w:t xml:space="preserve"> 直接开在MA10上方，盘中最高触及 </w:t>
      </w:r>
      <w:r>
        <w:rPr>
          <w:rFonts w:ascii="Microsoft YaHei" w:hAnsi="Microsoft YaHei"/>
          <w:b/>
          <w:color w:val="1A1A1A"/>
        </w:rPr>
        <w:t>11.11</w:t>
      </w:r>
      <w:r>
        <w:rPr>
          <w:rFonts w:ascii="Microsoft YaHei" w:hAnsi="Microsoft YaHei"/>
        </w:rPr>
        <w:t xml:space="preserve">，近布林带上轨 </w:t>
      </w:r>
      <w:r>
        <w:rPr>
          <w:rFonts w:ascii="Microsoft YaHei" w:hAnsi="Microsoft YaHei"/>
          <w:b/>
          <w:color w:val="1A1A1A"/>
        </w:rPr>
        <w:t>11.25</w:t>
      </w:r>
      <w:r>
        <w:rPr>
          <w:rFonts w:ascii="Microsoft YaHei" w:hAnsi="Microsoft YaHei"/>
        </w:rPr>
        <w:t xml:space="preserve">，仅余 </w:t>
      </w:r>
      <w:r>
        <w:rPr>
          <w:rFonts w:ascii="Microsoft YaHei" w:hAnsi="Microsoft YaHei"/>
          <w:b/>
          <w:color w:val="1A1A1A"/>
        </w:rPr>
        <w:t>2.2%</w:t>
      </w:r>
      <w:r>
        <w:rPr>
          <w:rFonts w:ascii="Microsoft YaHei" w:hAnsi="Microsoft YaHei"/>
        </w:rPr>
        <w:t xml:space="preserve"> 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偏离度警示</w:t>
      </w:r>
      <w:r>
        <w:rPr>
          <w:rFonts w:ascii="Microsoft YaHei" w:hAnsi="Microsoft YaHei"/>
        </w:rPr>
        <w:t xml:space="preserve">：当前价较MA20偏离 </w:t>
      </w:r>
      <w:r>
        <w:rPr>
          <w:rFonts w:ascii="Microsoft YaHei" w:hAnsi="Microsoft YaHei"/>
          <w:b/>
          <w:color w:val="1A1A1A"/>
        </w:rPr>
        <w:t>+13.4%</w:t>
      </w:r>
      <w:r>
        <w:rPr>
          <w:rFonts w:ascii="Microsoft YaHei" w:hAnsi="Microsoft YaHei"/>
        </w:rPr>
        <w:t>，处于短线超买区间，存在技术性回调压力。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关键压力位</w:t>
      </w:r>
      <w:r>
        <w:rPr>
          <w:rFonts w:ascii="Microsoft YaHei" w:hAnsi="Microsoft YaHei"/>
        </w:rPr>
        <w:t xml:space="preserve">：布林带上轨 </w:t>
      </w:r>
      <w:r>
        <w:rPr>
          <w:rFonts w:ascii="Microsoft YaHei" w:hAnsi="Microsoft YaHei"/>
          <w:b/>
          <w:color w:val="1A1A1A"/>
        </w:rPr>
        <w:t>11.25元</w:t>
      </w:r>
      <w:r>
        <w:rPr>
          <w:rFonts w:ascii="Microsoft YaHei" w:hAnsi="Microsoft YaHei"/>
        </w:rPr>
        <w:t xml:space="preserve"> 为短期强阻，若午后放量突破，则打开上行空间；若受阻回落，则需关注 </w:t>
      </w:r>
      <w:r>
        <w:rPr>
          <w:rFonts w:ascii="Microsoft YaHei" w:hAnsi="Microsoft YaHei"/>
          <w:b/>
          <w:color w:val="1A1A1A"/>
        </w:rPr>
        <w:t>10.78元（MA5）</w:t>
      </w:r>
      <w:r>
        <w:rPr>
          <w:rFonts w:ascii="Microsoft YaHei" w:hAnsi="Microsoft YaHei"/>
        </w:rPr>
        <w:t xml:space="preserve"> 的支撑。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五、板块关联分析</w:t>
      </w:r>
    </w:p>
    <w:p>
      <w:r>
        <w:rPr>
          <w:rFonts w:ascii="Microsoft YaHei" w:hAnsi="Microsoft YaHei"/>
        </w:rPr>
        <w:t xml:space="preserve">中国石油今日强势表现与 </w:t>
      </w:r>
      <w:r>
        <w:rPr>
          <w:rFonts w:ascii="Microsoft YaHei" w:hAnsi="Microsoft YaHei"/>
          <w:b/>
          <w:color w:val="1A1A1A"/>
        </w:rPr>
        <w:t>能源板块集体爆发</w:t>
      </w:r>
      <w:r>
        <w:rPr>
          <w:rFonts w:ascii="Microsoft YaHei" w:hAnsi="Microsoft YaHei"/>
        </w:rPr>
        <w:t xml:space="preserve"> 高度关联：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所在板块排名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综合性石油与天然气企业(A股)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石油、天然气与消费用燃料(A股)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+2.94%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第36/1158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15/57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20/83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3/55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行业联动表现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领涨标杆</w:t>
      </w:r>
      <w:r>
        <w:rPr>
          <w:rFonts w:ascii="Microsoft YaHei" w:hAnsi="Microsoft YaHei"/>
        </w:rPr>
        <w:t>：中国海油（+10.01%）、兖矿能源（+10.00%）涨停，带动板块情绪。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同业跟随</w:t>
      </w:r>
      <w:r>
        <w:rPr>
          <w:rFonts w:ascii="Microsoft YaHei" w:hAnsi="Microsoft YaHei"/>
        </w:rPr>
        <w:t>：广汇能源（+5.88%）、中国石化（+4.17%），石油三巨头同步大涨。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产业链扩散</w:t>
      </w:r>
      <w:r>
        <w:rPr>
          <w:rFonts w:ascii="Microsoft YaHei" w:hAnsi="Microsoft YaHei"/>
        </w:rPr>
        <w:t>：通源石油（+16.41%）、潜能恒信（+11.68%）等中小市值油服股弹性更大。</w:t>
      </w:r>
    </w:p>
    <w:p>
      <w:r>
        <w:rPr>
          <w:rFonts w:ascii="Microsoft YaHei" w:hAnsi="Microsoft YaHei"/>
        </w:rPr>
        <w:t xml:space="preserve">能源板块的集体走强，叠加 </w:t>
      </w:r>
      <w:r>
        <w:rPr>
          <w:rFonts w:ascii="Microsoft YaHei" w:hAnsi="Microsoft YaHei"/>
          <w:b/>
          <w:color w:val="1A1A1A"/>
        </w:rPr>
        <w:t>沪深300 / 上证50</w:t>
      </w:r>
      <w:r>
        <w:rPr>
          <w:rFonts w:ascii="Microsoft YaHei" w:hAnsi="Microsoft YaHei"/>
        </w:rPr>
        <w:t xml:space="preserve"> 等蓝筹指数的优异表现，形成了 </w:t>
      </w:r>
      <w:r>
        <w:rPr>
          <w:rFonts w:ascii="Microsoft YaHei" w:hAnsi="Microsoft YaHei"/>
          <w:b/>
          <w:color w:val="1A1A1A"/>
        </w:rPr>
        <w:t>"权重搭台、能源唱戏"</w:t>
      </w:r>
      <w:r>
        <w:rPr>
          <w:rFonts w:ascii="Microsoft YaHei" w:hAnsi="Microsoft YaHei"/>
        </w:rPr>
        <w:t xml:space="preserve"> 的共振格局。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六、新闻资讯分析</w:t>
      </w:r>
    </w:p>
    <w:p>
      <w:r>
        <w:rPr>
          <w:rFonts w:ascii="Microsoft YaHei" w:hAnsi="Microsoft YaHei"/>
        </w:rPr>
        <w:t>由于正文获取超时，基于标题信息研判以下关键线索：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潜在正面催化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【中石油考虑出售加拿大LNG Canada 15%股权，价值或达数十亿美元】</w:t>
      </w:r>
      <w:r>
        <w:rPr>
          <w:rFonts w:ascii="Microsoft YaHei" w:hAnsi="Microsoft YaHei"/>
        </w:rPr>
        <w:t>（a_02）</w:t>
      </w:r>
    </w:p>
    <w:p>
      <w:r>
        <w:rPr>
          <w:rFonts w:ascii="Microsoft YaHei" w:hAnsi="Microsoft YaHei"/>
        </w:rPr>
        <w:t xml:space="preserve">   - 若出售成功，将有助于 </w:t>
      </w:r>
      <w:r>
        <w:rPr>
          <w:rFonts w:ascii="Microsoft YaHei" w:hAnsi="Microsoft YaHei"/>
          <w:b/>
          <w:color w:val="1A1A1A"/>
        </w:rPr>
        <w:t>资产盘活、回笼资金</w:t>
      </w:r>
      <w:r>
        <w:rPr>
          <w:rFonts w:ascii="Microsoft YaHei" w:hAnsi="Microsoft YaHei"/>
        </w:rPr>
        <w:t>，提升资产运营效率，对估值形成正面支撑。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【沪市2025年报分红已派发超万亿，红利低波ETF年内净流入近230亿元】</w:t>
      </w:r>
      <w:r>
        <w:rPr>
          <w:rFonts w:ascii="Microsoft YaHei" w:hAnsi="Microsoft YaHei"/>
        </w:rPr>
        <w:t>（a_01）</w:t>
      </w:r>
    </w:p>
    <w:p>
      <w:r>
        <w:rPr>
          <w:rFonts w:ascii="Microsoft YaHei" w:hAnsi="Microsoft YaHei"/>
        </w:rPr>
        <w:t xml:space="preserve">   - 中国石油作为传统高分红蓝筹，受益于 </w:t>
      </w:r>
      <w:r>
        <w:rPr>
          <w:rFonts w:ascii="Microsoft YaHei" w:hAnsi="Microsoft YaHei"/>
          <w:b/>
          <w:color w:val="1A1A1A"/>
        </w:rPr>
        <w:t>红利资产配置需求</w:t>
      </w:r>
      <w:r>
        <w:rPr>
          <w:rFonts w:ascii="Microsoft YaHei" w:hAnsi="Microsoft YaHei"/>
        </w:rPr>
        <w:t xml:space="preserve"> 的提升，ETF资金持续流入形成边际买盘。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【中国石油首套溶液法POE挤压造粒机组单机试车一次成功】</w:t>
      </w:r>
      <w:r>
        <w:rPr>
          <w:rFonts w:ascii="Microsoft YaHei" w:hAnsi="Microsoft YaHei"/>
        </w:rPr>
        <w:t>（a_09）</w:t>
      </w:r>
    </w:p>
    <w:p>
      <w:r>
        <w:rPr>
          <w:rFonts w:ascii="Microsoft YaHei" w:hAnsi="Microsoft YaHei"/>
        </w:rPr>
        <w:t xml:space="preserve">   - 标志公司在 </w:t>
      </w:r>
      <w:r>
        <w:rPr>
          <w:rFonts w:ascii="Microsoft YaHei" w:hAnsi="Microsoft YaHei"/>
          <w:b/>
          <w:color w:val="1A1A1A"/>
        </w:rPr>
        <w:t>高端化工新材料</w:t>
      </w:r>
      <w:r>
        <w:rPr>
          <w:rFonts w:ascii="Microsoft YaHei" w:hAnsi="Microsoft YaHei"/>
        </w:rPr>
        <w:t xml:space="preserve"> 领域取得技术突破，长期有利于产业链延伸和盈利改善。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【SHPGX交易及数据指数发布】</w:t>
      </w:r>
      <w:r>
        <w:rPr>
          <w:rFonts w:ascii="Microsoft YaHei" w:hAnsi="Microsoft YaHei"/>
        </w:rPr>
        <w:t>（a_03）</w:t>
      </w:r>
    </w:p>
    <w:p>
      <w:r>
        <w:rPr>
          <w:rFonts w:ascii="Microsoft YaHei" w:hAnsi="Microsoft YaHei"/>
        </w:rPr>
        <w:t xml:space="preserve">   - 油气交易定价机制完善，利好行业价格发现。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信号梳理</w:t>
      </w:r>
    </w:p>
    <w:p>
      <w:r>
        <w:rPr>
          <w:rFonts w:ascii="Microsoft YaHei" w:hAnsi="Microsoft YaHei"/>
        </w:rPr>
        <w:t>今日大涨的核心驱动逻辑可归纳为：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外部催化</w:t>
      </w:r>
      <w:r>
        <w:rPr>
          <w:rFonts w:ascii="Microsoft YaHei" w:hAnsi="Microsoft YaHei"/>
        </w:rPr>
        <w:t>：能源板块集体爆发 + 蓝筹风格占优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内部驱动</w:t>
      </w:r>
      <w:r>
        <w:rPr>
          <w:rFonts w:ascii="Microsoft YaHei" w:hAnsi="Microsoft YaHei"/>
        </w:rPr>
        <w:t>：潜在资产出售（LNG Canada股权）预期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资金支撑</w:t>
      </w:r>
      <w:r>
        <w:rPr>
          <w:rFonts w:ascii="Microsoft YaHei" w:hAnsi="Microsoft YaHei"/>
        </w:rPr>
        <w:t>：红利配置逻辑 + 融资盘加仓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七、综合研判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要点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趋势强度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跳空放量长阳，突破所有短期均线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资金支持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连续两日净流入，中单主导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板块共振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能源板块集体大涨，龙头效应显著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接近布林上轨，短线超买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消息催化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资产出售预期 + 红利逻辑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中国石油今日走出 </w:t>
      </w:r>
      <w:r>
        <w:rPr>
          <w:rFonts w:ascii="Microsoft YaHei" w:hAnsi="Microsoft YaHei"/>
          <w:b/>
          <w:color w:val="1A1A1A"/>
        </w:rPr>
        <w:t>放量跳空长阳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+7.00%</w:t>
      </w:r>
      <w:r>
        <w:rPr>
          <w:rFonts w:ascii="Microsoft YaHei" w:hAnsi="Microsoft YaHei"/>
        </w:rPr>
        <w:t xml:space="preserve">，领涨上证50及石油板块，资金面、技术面、板块面形成 </w:t>
      </w:r>
      <w:r>
        <w:rPr>
          <w:rFonts w:ascii="Microsoft YaHei" w:hAnsi="Microsoft YaHei"/>
          <w:b/>
          <w:color w:val="1A1A1A"/>
        </w:rPr>
        <w:t>三重共振</w:t>
      </w:r>
      <w:r>
        <w:rPr>
          <w:rFonts w:ascii="Microsoft YaHei" w:hAnsi="Microsoft YaHei"/>
        </w:rPr>
        <w:t xml:space="preserve">。当前估值（PE </w:t>
      </w:r>
      <w:r>
        <w:rPr>
          <w:rFonts w:ascii="Microsoft YaHei" w:hAnsi="Microsoft YaHei"/>
          <w:b/>
          <w:color w:val="1A1A1A"/>
        </w:rPr>
        <w:t>10.42倍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1.28倍</w:t>
      </w:r>
      <w:r>
        <w:rPr>
          <w:rFonts w:ascii="Microsoft YaHei" w:hAnsi="Microsoft YaHei"/>
        </w:rPr>
        <w:t>）在能源蓝筹中仍具备性价比。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布林上轨 11.25元</w:t>
      </w:r>
      <w:r>
        <w:rPr>
          <w:rFonts w:ascii="Microsoft YaHei" w:hAnsi="Microsoft YaHei"/>
        </w:rPr>
        <w:t xml:space="preserve"> 能否突破，决定短线空间是否打开</w:t>
      </w:r>
    </w:p>
    <w:p>
      <w:pPr>
        <w:pStyle w:val="ListNumber"/>
      </w:pPr>
      <w:r>
        <w:rPr>
          <w:rFonts w:ascii="Microsoft YaHei" w:hAnsi="Microsoft YaHei"/>
        </w:rPr>
        <w:t>成交额能否持续放大，维持量比 &gt; 1.5 为强势延续信号</w:t>
      </w:r>
    </w:p>
    <w:p>
      <w:pPr>
        <w:pStyle w:val="ListNumber"/>
      </w:pPr>
      <w:r>
        <w:rPr>
          <w:rFonts w:ascii="Microsoft YaHei" w:hAnsi="Microsoft YaHei"/>
        </w:rPr>
        <w:t>中国海油（+10.01%）能否封板至收盘，影响板块情绪</w:t>
      </w:r>
    </w:p>
    <w:p>
      <w:pPr>
        <w:pStyle w:val="ListNumber"/>
      </w:pPr>
      <w:r>
        <w:rPr>
          <w:rFonts w:ascii="Microsoft YaHei" w:hAnsi="Microsoft YaHei"/>
        </w:rPr>
        <w:t xml:space="preserve">注意偏离MA20已达 </w:t>
      </w:r>
      <w:r>
        <w:rPr>
          <w:rFonts w:ascii="Microsoft YaHei" w:hAnsi="Microsoft YaHei"/>
          <w:b/>
          <w:color w:val="1A1A1A"/>
        </w:rPr>
        <w:t>+13.4%</w:t>
      </w:r>
      <w:r>
        <w:rPr>
          <w:rFonts w:ascii="Microsoft YaHei" w:hAnsi="Microsoft YaHei"/>
        </w:rPr>
        <w:t>，短线存在获利回吐压力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：今日市场整体赚钱效应仅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，中小盘股普跌，结构性行情下若蓝筹情绪降温，个股存在回调风险。投资有风险，操作需谨慎。</w:t>
      </w:r>
    </w:p>
    <w:p>
      <w:pPr>
        <w:spacing w:before="240" w:after="240"/>
        <w:pBdr>
          <w:bottom w:val="single" w:sz="4" w:space="1" w:color="D0D7DE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中国石油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