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rPr>
        <w:t>正文获取超时，我将依据标题摘要和数据自行分析。以下是完整的午间分析报告。</w:t>
      </w:r>
    </w:p>
    <w:p>
      <w:pPr>
        <w:spacing w:before="240" w:after="240"/>
        <w:pBdr>
          <w:bottom w:val="single" w:sz="4" w:space="1" w:color="D0D7DE"/>
        </w:pBdr>
      </w:pPr>
    </w:p>
    <w:p>
      <w:pPr>
        <w:spacing w:before="480" w:after="80" w:line="288" w:lineRule="auto"/>
        <w:pBdr>
          <w:bottom w:val="single" w:sz="4" w:space="4" w:color="D0D7DE"/>
        </w:pBdr>
      </w:pPr>
      <w:r>
        <w:rPr>
          <w:rFonts w:ascii="Microsoft YaHei" w:hAnsi="Microsoft YaHei"/>
          <w:b/>
          <w:color w:val="1A1A1A"/>
          <w:sz w:val="36"/>
        </w:rPr>
        <w:t>中国移动（600941.SH）午间分析报告</w:t>
      </w:r>
    </w:p>
    <w:p>
      <w:r>
        <w:rPr>
          <w:rFonts w:ascii="Microsoft YaHei" w:hAnsi="Microsoft YaHei"/>
          <w:b/>
          <w:color w:val="1A1A1A"/>
        </w:rPr>
        <w:t>报告时间：</w:t>
      </w:r>
      <w:r>
        <w:rPr>
          <w:rFonts w:ascii="Microsoft YaHei" w:hAnsi="Microsoft YaHei"/>
        </w:rPr>
        <w:t xml:space="preserve"> 2026年7月28日 午间收盘 | </w:t>
      </w:r>
      <w:r>
        <w:rPr>
          <w:rFonts w:ascii="Microsoft YaHei" w:hAnsi="Microsoft YaHei"/>
          <w:b/>
          <w:color w:val="1A1A1A"/>
        </w:rPr>
        <w:t>当前股价：</w:t>
      </w:r>
      <w:r>
        <w:rPr>
          <w:rFonts w:ascii="Microsoft YaHei" w:hAnsi="Microsoft YaHei"/>
        </w:rPr>
        <w:t xml:space="preserve"> 95.80元 | </w:t>
      </w:r>
      <w:r>
        <w:rPr>
          <w:rFonts w:ascii="Microsoft YaHei" w:hAnsi="Microsoft YaHei"/>
          <w:b/>
          <w:color w:val="1A1A1A"/>
        </w:rPr>
        <w:t>涨跌幅：</w:t>
      </w:r>
      <w:r>
        <w:rPr>
          <w:rFonts w:ascii="Microsoft YaHei" w:hAnsi="Microsoft YaHei"/>
        </w:rPr>
        <w:t xml:space="preserve"> </w:t>
      </w:r>
      <w:r>
        <w:rPr>
          <w:rFonts w:ascii="Microsoft YaHei" w:hAnsi="Microsoft YaHei"/>
          <w:b/>
          <w:color w:val="1A1A1A"/>
        </w:rPr>
        <w:t>+2.57%</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今日全市场情绪整体偏中性。午间收盘数据显示，市场热度指数为 </w:t>
      </w:r>
      <w:r>
        <w:rPr>
          <w:rFonts w:ascii="Microsoft YaHei" w:hAnsi="Microsoft YaHei"/>
          <w:b/>
          <w:color w:val="1A1A1A"/>
        </w:rPr>
        <w:t>43（一般）</w:t>
      </w:r>
      <w:r>
        <w:rPr>
          <w:rFonts w:ascii="Microsoft YaHei" w:hAnsi="Microsoft YaHei"/>
        </w:rPr>
        <w:t xml:space="preserve">，上涨家数 </w:t>
      </w:r>
      <w:r>
        <w:rPr>
          <w:rFonts w:ascii="Microsoft YaHei" w:hAnsi="Microsoft YaHei"/>
          <w:b/>
          <w:color w:val="1A1A1A"/>
        </w:rPr>
        <w:t>2,603家</w:t>
      </w:r>
      <w:r>
        <w:rPr>
          <w:rFonts w:ascii="Microsoft YaHei" w:hAnsi="Microsoft YaHei"/>
        </w:rPr>
        <w:t xml:space="preserve">，下跌家数 </w:t>
      </w:r>
      <w:r>
        <w:rPr>
          <w:rFonts w:ascii="Microsoft YaHei" w:hAnsi="Microsoft YaHei"/>
          <w:b/>
          <w:color w:val="1A1A1A"/>
        </w:rPr>
        <w:t>2,769家</w:t>
      </w:r>
      <w:r>
        <w:rPr>
          <w:rFonts w:ascii="Microsoft YaHei" w:hAnsi="Microsoft YaHei"/>
        </w:rPr>
        <w:t xml:space="preserve">，涨跌基本持平。涨停68只，跌停50只，赚钱效应为 </w:t>
      </w:r>
      <w:r>
        <w:rPr>
          <w:rFonts w:ascii="Microsoft YaHei" w:hAnsi="Microsoft YaHei"/>
          <w:b/>
          <w:color w:val="1A1A1A"/>
        </w:rPr>
        <w:t>48%</w:t>
      </w:r>
      <w:r>
        <w:rPr>
          <w:rFonts w:ascii="Microsoft YaHei" w:hAnsi="Microsoft YaHei"/>
        </w:rPr>
        <w:t xml:space="preserve">。成交额方面，全市场成交 </w:t>
      </w:r>
      <w:r>
        <w:rPr>
          <w:rFonts w:ascii="Microsoft YaHei" w:hAnsi="Microsoft YaHei"/>
          <w:b/>
          <w:color w:val="1A1A1A"/>
        </w:rPr>
        <w:t>2.03万亿</w:t>
      </w:r>
      <w:r>
        <w:rPr>
          <w:rFonts w:ascii="Microsoft YaHei" w:hAnsi="Microsoft YaHei"/>
        </w:rPr>
        <w:t xml:space="preserve">，较上一交易日缩量 </w:t>
      </w:r>
      <w:r>
        <w:rPr>
          <w:rFonts w:ascii="Microsoft YaHei" w:hAnsi="Microsoft YaHei"/>
          <w:b/>
          <w:color w:val="1A1A1A"/>
        </w:rPr>
        <w:t>508亿</w:t>
      </w:r>
      <w:r>
        <w:rPr>
          <w:rFonts w:ascii="Microsoft YaHei" w:hAnsi="Microsoft YaHei"/>
        </w:rPr>
        <w:t>，显示资金参与意愿有所收敛。</w:t>
      </w:r>
    </w:p>
    <w:p>
      <w:r>
        <w:rPr>
          <w:rFonts w:ascii="Microsoft YaHei" w:hAnsi="Microsoft YaHei"/>
        </w:rPr>
        <w:t xml:space="preserve">在此背景下，中国移动逆势放量上攻，录得 </w:t>
      </w:r>
      <w:r>
        <w:rPr>
          <w:rFonts w:ascii="Microsoft YaHei" w:hAnsi="Microsoft YaHei"/>
          <w:b/>
          <w:color w:val="1A1A1A"/>
        </w:rPr>
        <w:t>+2.57%</w:t>
      </w:r>
      <w:r>
        <w:rPr>
          <w:rFonts w:ascii="Microsoft YaHei" w:hAnsi="Microsoft YaHei"/>
        </w:rPr>
        <w:t xml:space="preserve"> 的涨幅，显著跑赢大盘，体现出较强的防御属性和资金共识。</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备注</w:t>
            </w:r>
          </w:p>
        </w:tc>
      </w:tr>
      <w:tr>
        <w:tc>
          <w:tcPr>
            <w:tcW w:type="dxa" w:w="3022"/>
          </w:tcPr>
          <w:p>
            <w:pPr>
              <w:spacing w:before="40" w:after="40" w:line="288" w:lineRule="auto"/>
            </w:pPr>
            <w:r/>
            <w:r>
              <w:rPr>
                <w:rFonts w:ascii="Microsoft YaHei" w:hAnsi="Microsoft YaHei"/>
                <w:sz w:val="18"/>
              </w:rPr>
              <w:t>当前价</w:t>
            </w:r>
          </w:p>
        </w:tc>
        <w:tc>
          <w:tcPr>
            <w:tcW w:type="dxa" w:w="3022"/>
          </w:tcPr>
          <w:p>
            <w:pPr>
              <w:spacing w:before="40" w:after="40" w:line="288" w:lineRule="auto"/>
            </w:pPr>
            <w:r/>
            <w:r>
              <w:rPr>
                <w:rFonts w:ascii="Microsoft YaHei" w:hAnsi="Microsoft YaHei"/>
                <w:b/>
                <w:color w:val="1A1A1A"/>
                <w:sz w:val="18"/>
              </w:rPr>
              <w:t>95.80元</w:t>
            </w:r>
          </w:p>
        </w:tc>
        <w:tc>
          <w:tcPr>
            <w:tcW w:type="dxa" w:w="3022"/>
          </w:tcPr>
          <w:p>
            <w:pPr>
              <w:spacing w:before="40" w:after="40" w:line="288" w:lineRule="auto"/>
            </w:pPr>
            <w:r/>
            <w:r>
              <w:rPr>
                <w:rFonts w:ascii="Microsoft YaHei" w:hAnsi="Microsoft YaHei"/>
                <w:sz w:val="18"/>
              </w:rPr>
              <w:t>突破前高</w:t>
            </w:r>
          </w:p>
        </w:tc>
      </w:tr>
      <w:tr>
        <w:tc>
          <w:tcPr>
            <w:tcW w:type="dxa" w:w="3022"/>
            <w:shd w:fill="F8F9FA" w:val="clear"/>
          </w:tcPr>
          <w:p>
            <w:pPr>
              <w:spacing w:before="40" w:after="40" w:line="288" w:lineRule="auto"/>
            </w:pPr>
            <w:r/>
            <w:r>
              <w:rPr>
                <w:rFonts w:ascii="Microsoft YaHei" w:hAnsi="Microsoft YaHei"/>
                <w:sz w:val="18"/>
              </w:rPr>
              <w:t>涨跌幅</w:t>
            </w:r>
          </w:p>
        </w:tc>
        <w:tc>
          <w:tcPr>
            <w:tcW w:type="dxa" w:w="3022"/>
            <w:shd w:fill="F8F9FA" w:val="clear"/>
          </w:tcPr>
          <w:p>
            <w:pPr>
              <w:spacing w:before="40" w:after="40" w:line="288" w:lineRule="auto"/>
            </w:pPr>
            <w:r/>
            <w:r>
              <w:rPr>
                <w:rFonts w:ascii="Microsoft YaHei" w:hAnsi="Microsoft YaHei"/>
                <w:b/>
                <w:color w:val="1A1A1A"/>
                <w:sz w:val="18"/>
              </w:rPr>
              <w:t>+2.57%</w:t>
            </w:r>
          </w:p>
        </w:tc>
        <w:tc>
          <w:tcPr>
            <w:tcW w:type="dxa" w:w="3022"/>
            <w:shd w:fill="F8F9FA" w:val="clear"/>
          </w:tcPr>
          <w:p>
            <w:pPr>
              <w:spacing w:before="40" w:after="40" w:line="288" w:lineRule="auto"/>
            </w:pPr>
            <w:r/>
            <w:r>
              <w:rPr>
                <w:rFonts w:ascii="Microsoft YaHei" w:hAnsi="Microsoft YaHei"/>
                <w:sz w:val="18"/>
              </w:rPr>
              <w:t>大幅跑赢沪深300（+1.57%）</w:t>
            </w:r>
          </w:p>
        </w:tc>
      </w:tr>
      <w:tr>
        <w:tc>
          <w:tcPr>
            <w:tcW w:type="dxa" w:w="3022"/>
          </w:tcPr>
          <w:p>
            <w:pPr>
              <w:spacing w:before="40" w:after="40" w:line="288" w:lineRule="auto"/>
            </w:pPr>
            <w:r/>
            <w:r>
              <w:rPr>
                <w:rFonts w:ascii="Microsoft YaHei" w:hAnsi="Microsoft YaHei"/>
                <w:sz w:val="18"/>
              </w:rPr>
              <w:t>成交量</w:t>
            </w:r>
          </w:p>
        </w:tc>
        <w:tc>
          <w:tcPr>
            <w:tcW w:type="dxa" w:w="3022"/>
          </w:tcPr>
          <w:p>
            <w:pPr>
              <w:spacing w:before="40" w:after="40" w:line="288" w:lineRule="auto"/>
            </w:pPr>
            <w:r/>
            <w:r>
              <w:rPr>
                <w:rFonts w:ascii="Microsoft YaHei" w:hAnsi="Microsoft YaHei"/>
                <w:b/>
                <w:color w:val="1A1A1A"/>
                <w:sz w:val="18"/>
              </w:rPr>
              <w:t>201,612手</w:t>
            </w:r>
          </w:p>
        </w:tc>
        <w:tc>
          <w:tcPr>
            <w:tcW w:type="dxa" w:w="3022"/>
          </w:tcPr>
          <w:p>
            <w:pPr>
              <w:spacing w:before="40" w:after="40" w:line="288" w:lineRule="auto"/>
            </w:pPr>
            <w:r/>
            <w:r>
              <w:rPr>
                <w:rFonts w:ascii="Microsoft YaHei" w:hAnsi="Microsoft YaHei"/>
                <w:sz w:val="18"/>
              </w:rPr>
              <w:t>半日即放量</w:t>
            </w:r>
          </w:p>
        </w:tc>
      </w:tr>
      <w:tr>
        <w:tc>
          <w:tcPr>
            <w:tcW w:type="dxa" w:w="3022"/>
            <w:shd w:fill="F8F9FA" w:val="clear"/>
          </w:tcPr>
          <w:p>
            <w:pPr>
              <w:spacing w:before="40" w:after="40" w:line="288" w:lineRule="auto"/>
            </w:pPr>
            <w:r/>
            <w:r>
              <w:rPr>
                <w:rFonts w:ascii="Microsoft YaHei" w:hAnsi="Microsoft YaHei"/>
                <w:sz w:val="18"/>
              </w:rPr>
              <w:t>成交额</w:t>
            </w:r>
          </w:p>
        </w:tc>
        <w:tc>
          <w:tcPr>
            <w:tcW w:type="dxa" w:w="3022"/>
            <w:shd w:fill="F8F9FA" w:val="clear"/>
          </w:tcPr>
          <w:p>
            <w:pPr>
              <w:spacing w:before="40" w:after="40" w:line="288" w:lineRule="auto"/>
            </w:pPr>
            <w:r/>
            <w:r>
              <w:rPr>
                <w:rFonts w:ascii="Microsoft YaHei" w:hAnsi="Microsoft YaHei"/>
                <w:b/>
                <w:color w:val="1A1A1A"/>
                <w:sz w:val="18"/>
              </w:rPr>
              <w:t>19.25亿元</w:t>
            </w:r>
          </w:p>
        </w:tc>
        <w:tc>
          <w:tcPr>
            <w:tcW w:type="dxa" w:w="3022"/>
            <w:shd w:fill="F8F9FA" w:val="clear"/>
          </w:tcPr>
          <w:p>
            <w:pPr>
              <w:spacing w:before="40" w:after="40" w:line="288" w:lineRule="auto"/>
            </w:pPr>
            <w:r/>
            <w:r>
              <w:rPr>
                <w:rFonts w:ascii="Microsoft YaHei" w:hAnsi="Microsoft YaHei"/>
                <w:sz w:val="18"/>
              </w:rPr>
              <w:t>全天有望超30亿</w:t>
            </w:r>
          </w:p>
        </w:tc>
      </w:tr>
      <w:tr>
        <w:tc>
          <w:tcPr>
            <w:tcW w:type="dxa" w:w="3022"/>
          </w:tcPr>
          <w:p>
            <w:pPr>
              <w:spacing w:before="40" w:after="40" w:line="288" w:lineRule="auto"/>
            </w:pPr>
            <w:r/>
            <w:r>
              <w:rPr>
                <w:rFonts w:ascii="Microsoft YaHei" w:hAnsi="Microsoft YaHei"/>
                <w:sz w:val="18"/>
              </w:rPr>
              <w:t>换手率</w:t>
            </w:r>
          </w:p>
        </w:tc>
        <w:tc>
          <w:tcPr>
            <w:tcW w:type="dxa" w:w="3022"/>
          </w:tcPr>
          <w:p>
            <w:pPr>
              <w:spacing w:before="40" w:after="40" w:line="288" w:lineRule="auto"/>
            </w:pPr>
            <w:r/>
            <w:r>
              <w:rPr>
                <w:rFonts w:ascii="Microsoft YaHei" w:hAnsi="Microsoft YaHei"/>
                <w:b/>
                <w:color w:val="1A1A1A"/>
                <w:sz w:val="18"/>
              </w:rPr>
              <w:t>2.23%</w:t>
            </w:r>
          </w:p>
        </w:tc>
        <w:tc>
          <w:tcPr>
            <w:tcW w:type="dxa" w:w="3022"/>
          </w:tcPr>
          <w:p>
            <w:pPr>
              <w:spacing w:before="40" w:after="40" w:line="288" w:lineRule="auto"/>
            </w:pPr>
            <w:r/>
            <w:r>
              <w:rPr>
                <w:rFonts w:ascii="Microsoft YaHei" w:hAnsi="Microsoft YaHei"/>
                <w:sz w:val="18"/>
              </w:rPr>
              <w:t>上一交易日全天仅0.88%</w:t>
            </w:r>
          </w:p>
        </w:tc>
      </w:tr>
      <w:tr>
        <w:tc>
          <w:tcPr>
            <w:tcW w:type="dxa" w:w="3022"/>
            <w:shd w:fill="F8F9FA" w:val="clear"/>
          </w:tcPr>
          <w:p>
            <w:pPr>
              <w:spacing w:before="40" w:after="40" w:line="288" w:lineRule="auto"/>
            </w:pPr>
            <w:r/>
            <w:r>
              <w:rPr>
                <w:rFonts w:ascii="Microsoft YaHei" w:hAnsi="Microsoft YaHei"/>
                <w:sz w:val="18"/>
              </w:rPr>
              <w:t>量比</w:t>
            </w:r>
          </w:p>
        </w:tc>
        <w:tc>
          <w:tcPr>
            <w:tcW w:type="dxa" w:w="3022"/>
            <w:shd w:fill="F8F9FA" w:val="clear"/>
          </w:tcPr>
          <w:p>
            <w:pPr>
              <w:spacing w:before="40" w:after="40" w:line="288" w:lineRule="auto"/>
            </w:pPr>
            <w:r/>
            <w:r>
              <w:rPr>
                <w:rFonts w:ascii="Microsoft YaHei" w:hAnsi="Microsoft YaHei"/>
                <w:b/>
                <w:color w:val="1A1A1A"/>
                <w:sz w:val="18"/>
              </w:rPr>
              <w:t>1.77</w:t>
            </w:r>
          </w:p>
        </w:tc>
        <w:tc>
          <w:tcPr>
            <w:tcW w:type="dxa" w:w="3022"/>
            <w:shd w:fill="F8F9FA" w:val="clear"/>
          </w:tcPr>
          <w:p>
            <w:pPr>
              <w:spacing w:before="40" w:after="40" w:line="288" w:lineRule="auto"/>
            </w:pPr>
            <w:r/>
            <w:r>
              <w:rPr>
                <w:rFonts w:ascii="Microsoft YaHei" w:hAnsi="Microsoft YaHei"/>
                <w:sz w:val="18"/>
              </w:rPr>
              <w:t>明显放量</w:t>
            </w:r>
          </w:p>
        </w:tc>
      </w:tr>
      <w:tr>
        <w:tc>
          <w:tcPr>
            <w:tcW w:type="dxa" w:w="3022"/>
          </w:tcPr>
          <w:p>
            <w:pPr>
              <w:spacing w:before="40" w:after="40" w:line="288" w:lineRule="auto"/>
            </w:pPr>
            <w:r/>
            <w:r>
              <w:rPr>
                <w:rFonts w:ascii="Microsoft YaHei" w:hAnsi="Microsoft YaHei"/>
                <w:sz w:val="18"/>
              </w:rPr>
              <w:t>振幅</w:t>
            </w:r>
          </w:p>
        </w:tc>
        <w:tc>
          <w:tcPr>
            <w:tcW w:type="dxa" w:w="3022"/>
          </w:tcPr>
          <w:p>
            <w:pPr>
              <w:spacing w:before="40" w:after="40" w:line="288" w:lineRule="auto"/>
            </w:pPr>
            <w:r/>
            <w:r>
              <w:rPr>
                <w:rFonts w:ascii="Microsoft YaHei" w:hAnsi="Microsoft YaHei"/>
                <w:b/>
                <w:color w:val="1A1A1A"/>
                <w:sz w:val="18"/>
              </w:rPr>
              <w:t>2.87%</w:t>
            </w:r>
          </w:p>
        </w:tc>
        <w:tc>
          <w:tcPr>
            <w:tcW w:type="dxa" w:w="3022"/>
          </w:tcPr>
          <w:p>
            <w:pPr>
              <w:spacing w:before="40" w:after="40" w:line="288" w:lineRule="auto"/>
            </w:pPr>
            <w:r/>
            <w:r>
              <w:rPr>
                <w:rFonts w:ascii="Microsoft YaHei" w:hAnsi="Microsoft YaHei"/>
                <w:sz w:val="18"/>
              </w:rPr>
              <w:t>盘中波幅较大</w:t>
            </w:r>
          </w:p>
        </w:tc>
      </w:tr>
      <w:tr>
        <w:tc>
          <w:tcPr>
            <w:tcW w:type="dxa" w:w="3022"/>
            <w:shd w:fill="F8F9FA" w:val="clear"/>
          </w:tcPr>
          <w:p>
            <w:pPr>
              <w:spacing w:before="40" w:after="40" w:line="288" w:lineRule="auto"/>
            </w:pPr>
            <w:r/>
            <w:r>
              <w:rPr>
                <w:rFonts w:ascii="Microsoft YaHei" w:hAnsi="Microsoft YaHei"/>
                <w:sz w:val="18"/>
              </w:rPr>
              <w:t>动态市盈率</w:t>
            </w:r>
          </w:p>
        </w:tc>
        <w:tc>
          <w:tcPr>
            <w:tcW w:type="dxa" w:w="3022"/>
            <w:shd w:fill="F8F9FA" w:val="clear"/>
          </w:tcPr>
          <w:p>
            <w:pPr>
              <w:spacing w:before="40" w:after="40" w:line="288" w:lineRule="auto"/>
            </w:pPr>
            <w:r/>
            <w:r>
              <w:rPr>
                <w:rFonts w:ascii="Microsoft YaHei" w:hAnsi="Microsoft YaHei"/>
                <w:b/>
                <w:color w:val="1A1A1A"/>
                <w:sz w:val="18"/>
              </w:rPr>
              <w:t>17.7倍</w:t>
            </w:r>
          </w:p>
        </w:tc>
        <w:tc>
          <w:tcPr>
            <w:tcW w:type="dxa" w:w="3022"/>
            <w:shd w:fill="F8F9FA" w:val="clear"/>
          </w:tcPr>
          <w:p>
            <w:pPr>
              <w:spacing w:before="40" w:after="40" w:line="288" w:lineRule="auto"/>
            </w:pPr>
            <w:r/>
            <w:r>
              <w:rPr>
                <w:rFonts w:ascii="Microsoft YaHei" w:hAnsi="Microsoft YaHei"/>
                <w:sz w:val="18"/>
              </w:rPr>
              <w:t>估值合理偏低</w:t>
            </w:r>
          </w:p>
        </w:tc>
      </w:tr>
      <w:tr>
        <w:tc>
          <w:tcPr>
            <w:tcW w:type="dxa" w:w="3022"/>
          </w:tcPr>
          <w:p>
            <w:pPr>
              <w:spacing w:before="40" w:after="40" w:line="288" w:lineRule="auto"/>
            </w:pPr>
            <w:r/>
            <w:r>
              <w:rPr>
                <w:rFonts w:ascii="Microsoft YaHei" w:hAnsi="Microsoft YaHei"/>
                <w:sz w:val="18"/>
              </w:rPr>
              <w:t>市净率</w:t>
            </w:r>
          </w:p>
        </w:tc>
        <w:tc>
          <w:tcPr>
            <w:tcW w:type="dxa" w:w="3022"/>
          </w:tcPr>
          <w:p>
            <w:pPr>
              <w:spacing w:before="40" w:after="40" w:line="288" w:lineRule="auto"/>
            </w:pPr>
            <w:r/>
            <w:r>
              <w:rPr>
                <w:rFonts w:ascii="Microsoft YaHei" w:hAnsi="Microsoft YaHei"/>
                <w:b/>
                <w:color w:val="1A1A1A"/>
                <w:sz w:val="18"/>
              </w:rPr>
              <w:t>1.46倍</w:t>
            </w:r>
          </w:p>
        </w:tc>
        <w:tc>
          <w:tcPr>
            <w:tcW w:type="dxa" w:w="3022"/>
          </w:tcPr>
          <w:p>
            <w:pPr>
              <w:spacing w:before="40" w:after="40" w:line="288" w:lineRule="auto"/>
            </w:pPr>
            <w:r/>
            <w:r>
              <w:rPr>
                <w:rFonts w:ascii="Microsoft YaHei" w:hAnsi="Microsoft YaHei"/>
                <w:sz w:val="18"/>
              </w:rPr>
              <w:t>低于历史中位数</w:t>
            </w:r>
          </w:p>
        </w:tc>
      </w:tr>
      <w:tr>
        <w:tc>
          <w:tcPr>
            <w:tcW w:type="dxa" w:w="3022"/>
            <w:shd w:fill="F8F9FA" w:val="clear"/>
          </w:tcPr>
          <w:p>
            <w:pPr>
              <w:spacing w:before="40" w:after="40" w:line="288" w:lineRule="auto"/>
            </w:pPr>
            <w:r/>
            <w:r>
              <w:rPr>
                <w:rFonts w:ascii="Microsoft YaHei" w:hAnsi="Microsoft YaHei"/>
                <w:sz w:val="18"/>
              </w:rPr>
              <w:t>总市值</w:t>
            </w:r>
          </w:p>
        </w:tc>
        <w:tc>
          <w:tcPr>
            <w:tcW w:type="dxa" w:w="3022"/>
            <w:shd w:fill="F8F9FA" w:val="clear"/>
          </w:tcPr>
          <w:p>
            <w:pPr>
              <w:spacing w:before="40" w:after="40" w:line="288" w:lineRule="auto"/>
            </w:pPr>
            <w:r/>
            <w:r>
              <w:rPr>
                <w:rFonts w:ascii="Microsoft YaHei" w:hAnsi="Microsoft YaHei"/>
                <w:b/>
                <w:color w:val="1A1A1A"/>
                <w:sz w:val="18"/>
              </w:rPr>
              <w:t>20,772.98亿元</w:t>
            </w:r>
          </w:p>
        </w:tc>
        <w:tc>
          <w:tcPr>
            <w:tcW w:type="dxa" w:w="3022"/>
            <w:shd w:fill="F8F9FA" w:val="clear"/>
          </w:tcPr>
          <w:p>
            <w:pPr>
              <w:spacing w:before="40" w:after="40" w:line="288" w:lineRule="auto"/>
            </w:pPr>
            <w:r/>
            <w:r>
              <w:rPr>
                <w:rFonts w:ascii="Microsoft YaHei" w:hAnsi="Microsoft YaHei"/>
                <w:sz w:val="18"/>
              </w:rPr>
              <w:t>权重蓝筹</w:t>
            </w:r>
          </w:p>
        </w:tc>
      </w:tr>
    </w:tbl>
    <w:p/>
    <w:p>
      <w:r>
        <w:rPr>
          <w:rFonts w:ascii="Microsoft YaHei" w:hAnsi="Microsoft YaHei"/>
          <w:b/>
          <w:color w:val="1A1A1A"/>
        </w:rPr>
        <w:t>核心发现：</w:t>
      </w:r>
    </w:p>
    <w:p>
      <w:pPr>
        <w:pStyle w:val="ListBullet"/>
      </w:pPr>
      <w:r>
        <w:rPr>
          <w:rFonts w:ascii="Microsoft YaHei" w:hAnsi="Microsoft YaHei"/>
        </w:rPr>
        <w:t xml:space="preserve">今日开盘价 </w:t>
      </w:r>
      <w:r>
        <w:rPr>
          <w:rFonts w:ascii="Microsoft YaHei" w:hAnsi="Microsoft YaHei"/>
          <w:b/>
          <w:color w:val="1A1A1A"/>
        </w:rPr>
        <w:t>93.40元</w:t>
      </w:r>
      <w:r>
        <w:rPr>
          <w:rFonts w:ascii="Microsoft YaHei" w:hAnsi="Microsoft YaHei"/>
        </w:rPr>
        <w:t xml:space="preserve"> 与昨收价持平，开盘后快速拉高，全天呈现 </w:t>
      </w:r>
      <w:r>
        <w:rPr>
          <w:rFonts w:ascii="Microsoft YaHei" w:hAnsi="Microsoft YaHei"/>
          <w:b/>
          <w:color w:val="1A1A1A"/>
        </w:rPr>
        <w:t>高开高走</w:t>
      </w:r>
      <w:r>
        <w:rPr>
          <w:rFonts w:ascii="Microsoft YaHei" w:hAnsi="Microsoft YaHei"/>
        </w:rPr>
        <w:t xml:space="preserve"> 态势，盘中最高触及 </w:t>
      </w:r>
      <w:r>
        <w:rPr>
          <w:rFonts w:ascii="Microsoft YaHei" w:hAnsi="Microsoft YaHei"/>
          <w:b/>
          <w:color w:val="1A1A1A"/>
        </w:rPr>
        <w:t>96.08元</w:t>
      </w:r>
      <w:r>
        <w:rPr>
          <w:rFonts w:ascii="Microsoft YaHei" w:hAnsi="Microsoft YaHei"/>
        </w:rPr>
        <w:t>。</w:t>
      </w:r>
    </w:p>
    <w:p>
      <w:pPr>
        <w:pStyle w:val="ListBullet"/>
      </w:pPr>
      <w:r>
        <w:rPr>
          <w:rFonts w:ascii="Microsoft YaHei" w:hAnsi="Microsoft YaHei"/>
        </w:rPr>
        <w:t xml:space="preserve">换手率 </w:t>
      </w:r>
      <w:r>
        <w:rPr>
          <w:rFonts w:ascii="Microsoft YaHei" w:hAnsi="Microsoft YaHei"/>
          <w:b/>
          <w:color w:val="1A1A1A"/>
        </w:rPr>
        <w:t>2.23%</w:t>
      </w:r>
      <w:r>
        <w:rPr>
          <w:rFonts w:ascii="Microsoft YaHei" w:hAnsi="Microsoft YaHei"/>
        </w:rPr>
        <w:t xml:space="preserve">，相较昨日全天换手率 </w:t>
      </w:r>
      <w:r>
        <w:rPr>
          <w:rFonts w:ascii="Microsoft YaHei" w:hAnsi="Microsoft YaHei"/>
          <w:b/>
          <w:color w:val="1A1A1A"/>
        </w:rPr>
        <w:t>0.88%</w:t>
      </w:r>
      <w:r>
        <w:rPr>
          <w:rFonts w:ascii="Microsoft YaHei" w:hAnsi="Microsoft YaHei"/>
        </w:rPr>
        <w:t xml:space="preserve"> 放大约 </w:t>
      </w:r>
      <w:r>
        <w:rPr>
          <w:rFonts w:ascii="Microsoft YaHei" w:hAnsi="Microsoft YaHei"/>
          <w:b/>
          <w:color w:val="1A1A1A"/>
        </w:rPr>
        <w:t>2.55倍</w:t>
      </w:r>
      <w:r>
        <w:rPr>
          <w:rFonts w:ascii="Microsoft YaHei" w:hAnsi="Microsoft YaHei"/>
        </w:rPr>
        <w:t>，半日换手即远超昨日全日水平，量价配合良好。</w:t>
      </w:r>
    </w:p>
    <w:p>
      <w:pPr>
        <w:pStyle w:val="ListBullet"/>
      </w:pPr>
      <w:r>
        <w:rPr>
          <w:rFonts w:ascii="Microsoft YaHei" w:hAnsi="Microsoft YaHei"/>
        </w:rPr>
        <w:t xml:space="preserve">外盘 </w:t>
      </w:r>
      <w:r>
        <w:rPr>
          <w:rFonts w:ascii="Microsoft YaHei" w:hAnsi="Microsoft YaHei"/>
          <w:b/>
          <w:color w:val="1A1A1A"/>
        </w:rPr>
        <w:t>125,444手</w:t>
      </w:r>
      <w:r>
        <w:rPr>
          <w:rFonts w:ascii="Microsoft YaHei" w:hAnsi="Microsoft YaHei"/>
        </w:rPr>
        <w:t xml:space="preserve"> 显著大于内盘 </w:t>
      </w:r>
      <w:r>
        <w:rPr>
          <w:rFonts w:ascii="Microsoft YaHei" w:hAnsi="Microsoft YaHei"/>
          <w:b/>
          <w:color w:val="1A1A1A"/>
        </w:rPr>
        <w:t>76,168手</w:t>
      </w:r>
      <w:r>
        <w:rPr>
          <w:rFonts w:ascii="Microsoft YaHei" w:hAnsi="Microsoft YaHei"/>
        </w:rPr>
        <w:t>（外盘/内盘≈1.65），买方力量明显占优。</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+3.56亿元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139分钟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99分钟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b/>
                <w:color w:val="1A1A1A"/>
                <w:sz w:val="18"/>
              </w:rPr>
              <w:t>5,116.6万元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sz w:val="18"/>
              </w:rPr>
              <w:t>816.4万元</w:t>
            </w:r>
          </w:p>
        </w:tc>
      </w:tr>
    </w:tbl>
    <w:p/>
    <w:p>
      <w:r>
        <w:rPr>
          <w:rFonts w:ascii="Microsoft YaHei" w:hAnsi="Microsoft YaHei"/>
        </w:rPr>
        <w:t xml:space="preserve">资金面呈现 </w:t>
      </w:r>
      <w:r>
        <w:rPr>
          <w:rFonts w:ascii="Microsoft YaHei" w:hAnsi="Microsoft YaHei"/>
          <w:b/>
          <w:color w:val="1A1A1A"/>
        </w:rPr>
        <w:t>单向强势净流入</w:t>
      </w:r>
      <w:r>
        <w:rPr>
          <w:rFonts w:ascii="Microsoft YaHei" w:hAnsi="Microsoft YaHei"/>
        </w:rPr>
        <w:t xml:space="preserve"> 格局。资金流入时长（139分钟）远超流出时长（99分钟），且最大单分钟流入金额是最大单分钟流出的 </w:t>
      </w:r>
      <w:r>
        <w:rPr>
          <w:rFonts w:ascii="Microsoft YaHei" w:hAnsi="Microsoft YaHei"/>
          <w:b/>
          <w:color w:val="1A1A1A"/>
        </w:rPr>
        <w:t>6.3倍</w:t>
      </w:r>
      <w:r>
        <w:rPr>
          <w:rFonts w:ascii="Microsoft YaHei" w:hAnsi="Microsoft YaHei"/>
        </w:rPr>
        <w:t>，说明买方力量集中且坚定。</w:t>
      </w:r>
    </w:p>
    <w:p>
      <w:pPr>
        <w:spacing w:before="280" w:after="80" w:line="312" w:lineRule="auto"/>
      </w:pPr>
      <w:r>
        <w:rPr>
          <w:rFonts w:ascii="Microsoft YaHei" w:hAnsi="Microsoft YaHei"/>
          <w:b/>
          <w:color w:val="333333"/>
          <w:sz w:val="24"/>
        </w:rPr>
        <w:t>上一个交易日资金细分（元）</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类型</w:t>
            </w:r>
          </w:p>
        </w:tc>
        <w:tc>
          <w:tcPr>
            <w:tcW w:type="dxa" w:w="2266"/>
            <w:shd w:fill="F6F8FA" w:val="clear"/>
          </w:tcPr>
          <w:p>
            <w:pPr>
              <w:spacing w:before="40" w:after="40" w:line="288" w:lineRule="auto"/>
            </w:pPr>
            <w:r/>
            <w:r>
              <w:rPr>
                <w:rFonts w:ascii="Microsoft YaHei" w:hAnsi="Microsoft YaHei"/>
                <w:b/>
                <w:color w:val="1A1A1A"/>
                <w:sz w:val="18"/>
              </w:rPr>
              <w:t>净额</w:t>
            </w:r>
          </w:p>
        </w:tc>
        <w:tc>
          <w:tcPr>
            <w:tcW w:type="dxa" w:w="2266"/>
            <w:shd w:fill="F6F8FA" w:val="clear"/>
          </w:tcPr>
          <w:p>
            <w:pPr>
              <w:spacing w:before="40" w:after="40" w:line="288" w:lineRule="auto"/>
            </w:pPr>
            <w:r/>
            <w:r>
              <w:rPr>
                <w:rFonts w:ascii="Microsoft YaHei" w:hAnsi="Microsoft YaHei"/>
                <w:b/>
                <w:color w:val="1A1A1A"/>
                <w:sz w:val="18"/>
              </w:rPr>
              <w:t>买入</w:t>
            </w:r>
          </w:p>
        </w:tc>
        <w:tc>
          <w:tcPr>
            <w:tcW w:type="dxa" w:w="2266"/>
            <w:shd w:fill="F6F8FA" w:val="clear"/>
          </w:tcPr>
          <w:p>
            <w:pPr>
              <w:spacing w:before="40" w:after="40" w:line="288" w:lineRule="auto"/>
            </w:pPr>
            <w:r/>
            <w:r>
              <w:rPr>
                <w:rFonts w:ascii="Microsoft YaHei" w:hAnsi="Microsoft YaHei"/>
                <w:b/>
                <w:color w:val="1A1A1A"/>
                <w:sz w:val="18"/>
              </w:rPr>
              <w:t>卖出</w:t>
            </w:r>
          </w:p>
        </w:tc>
      </w:tr>
      <w:tr>
        <w:tc>
          <w:tcPr>
            <w:tcW w:type="dxa" w:w="2266"/>
          </w:tcPr>
          <w:p>
            <w:pPr>
              <w:spacing w:before="40" w:after="40" w:line="288" w:lineRule="auto"/>
            </w:pPr>
            <w:r/>
            <w:r>
              <w:rPr>
                <w:rFonts w:ascii="Microsoft YaHei" w:hAnsi="Microsoft YaHei"/>
                <w:sz w:val="18"/>
              </w:rPr>
              <w:t>大单</w:t>
            </w:r>
          </w:p>
        </w:tc>
        <w:tc>
          <w:tcPr>
            <w:tcW w:type="dxa" w:w="2266"/>
          </w:tcPr>
          <w:p>
            <w:pPr>
              <w:spacing w:before="40" w:after="40" w:line="288" w:lineRule="auto"/>
            </w:pPr>
            <w:r/>
            <w:r>
              <w:rPr>
                <w:rFonts w:ascii="Microsoft YaHei" w:hAnsi="Microsoft YaHei"/>
                <w:b/>
                <w:color w:val="1A1A1A"/>
                <w:sz w:val="18"/>
              </w:rPr>
              <w:t>+2.16亿</w:t>
            </w:r>
          </w:p>
        </w:tc>
        <w:tc>
          <w:tcPr>
            <w:tcW w:type="dxa" w:w="2266"/>
          </w:tcPr>
          <w:p>
            <w:pPr>
              <w:spacing w:before="40" w:after="40" w:line="288" w:lineRule="auto"/>
            </w:pPr>
            <w:r/>
            <w:r>
              <w:rPr>
                <w:rFonts w:ascii="Microsoft YaHei" w:hAnsi="Microsoft YaHei"/>
                <w:sz w:val="18"/>
              </w:rPr>
              <w:t>2.91亿</w:t>
            </w:r>
          </w:p>
        </w:tc>
        <w:tc>
          <w:tcPr>
            <w:tcW w:type="dxa" w:w="2266"/>
          </w:tcPr>
          <w:p>
            <w:pPr>
              <w:spacing w:before="40" w:after="40" w:line="288" w:lineRule="auto"/>
            </w:pPr>
            <w:r/>
            <w:r>
              <w:rPr>
                <w:rFonts w:ascii="Microsoft YaHei" w:hAnsi="Microsoft YaHei"/>
                <w:sz w:val="18"/>
              </w:rPr>
              <w:t>0.74亿</w:t>
            </w:r>
          </w:p>
        </w:tc>
      </w:tr>
      <w:tr>
        <w:tc>
          <w:tcPr>
            <w:tcW w:type="dxa" w:w="2266"/>
            <w:shd w:fill="F8F9FA" w:val="clear"/>
          </w:tcPr>
          <w:p>
            <w:pPr>
              <w:spacing w:before="40" w:after="40" w:line="288" w:lineRule="auto"/>
            </w:pPr>
            <w:r/>
            <w:r>
              <w:rPr>
                <w:rFonts w:ascii="Microsoft YaHei" w:hAnsi="Microsoft YaHei"/>
                <w:sz w:val="18"/>
              </w:rPr>
              <w:t>中单</w:t>
            </w:r>
          </w:p>
        </w:tc>
        <w:tc>
          <w:tcPr>
            <w:tcW w:type="dxa" w:w="2266"/>
            <w:shd w:fill="F8F9FA" w:val="clear"/>
          </w:tcPr>
          <w:p>
            <w:pPr>
              <w:spacing w:before="40" w:after="40" w:line="288" w:lineRule="auto"/>
            </w:pPr>
            <w:r/>
            <w:r>
              <w:rPr>
                <w:rFonts w:ascii="Microsoft YaHei" w:hAnsi="Microsoft YaHei"/>
                <w:b/>
                <w:color w:val="1A1A1A"/>
                <w:sz w:val="18"/>
              </w:rPr>
              <w:t>+1.52亿</w:t>
            </w:r>
          </w:p>
        </w:tc>
        <w:tc>
          <w:tcPr>
            <w:tcW w:type="dxa" w:w="2266"/>
            <w:shd w:fill="F8F9FA" w:val="clear"/>
          </w:tcPr>
          <w:p>
            <w:pPr>
              <w:spacing w:before="40" w:after="40" w:line="288" w:lineRule="auto"/>
            </w:pPr>
            <w:r/>
            <w:r>
              <w:rPr>
                <w:rFonts w:ascii="Microsoft YaHei" w:hAnsi="Microsoft YaHei"/>
                <w:sz w:val="18"/>
              </w:rPr>
              <w:t>4.66亿</w:t>
            </w:r>
          </w:p>
        </w:tc>
        <w:tc>
          <w:tcPr>
            <w:tcW w:type="dxa" w:w="2266"/>
            <w:shd w:fill="F8F9FA" w:val="clear"/>
          </w:tcPr>
          <w:p>
            <w:pPr>
              <w:spacing w:before="40" w:after="40" w:line="288" w:lineRule="auto"/>
            </w:pPr>
            <w:r/>
            <w:r>
              <w:rPr>
                <w:rFonts w:ascii="Microsoft YaHei" w:hAnsi="Microsoft YaHei"/>
                <w:sz w:val="18"/>
              </w:rPr>
              <w:t>3.14亿</w:t>
            </w:r>
          </w:p>
        </w:tc>
      </w:tr>
      <w:tr>
        <w:tc>
          <w:tcPr>
            <w:tcW w:type="dxa" w:w="2266"/>
          </w:tcPr>
          <w:p>
            <w:pPr>
              <w:spacing w:before="40" w:after="40" w:line="288" w:lineRule="auto"/>
            </w:pPr>
            <w:r/>
            <w:r>
              <w:rPr>
                <w:rFonts w:ascii="Microsoft YaHei" w:hAnsi="Microsoft YaHei"/>
                <w:sz w:val="18"/>
              </w:rPr>
              <w:t>小单</w:t>
            </w:r>
          </w:p>
        </w:tc>
        <w:tc>
          <w:tcPr>
            <w:tcW w:type="dxa" w:w="2266"/>
          </w:tcPr>
          <w:p>
            <w:pPr>
              <w:spacing w:before="40" w:after="40" w:line="288" w:lineRule="auto"/>
            </w:pPr>
            <w:r/>
            <w:r>
              <w:rPr>
                <w:rFonts w:ascii="Microsoft YaHei" w:hAnsi="Microsoft YaHei"/>
                <w:sz w:val="18"/>
              </w:rPr>
              <w:t>-0.12亿</w:t>
            </w:r>
          </w:p>
        </w:tc>
        <w:tc>
          <w:tcPr>
            <w:tcW w:type="dxa" w:w="2266"/>
          </w:tcPr>
          <w:p>
            <w:pPr>
              <w:spacing w:before="40" w:after="40" w:line="288" w:lineRule="auto"/>
            </w:pPr>
            <w:r/>
            <w:r>
              <w:rPr>
                <w:rFonts w:ascii="Microsoft YaHei" w:hAnsi="Microsoft YaHei"/>
                <w:sz w:val="18"/>
              </w:rPr>
              <w:t>1.31亿</w:t>
            </w:r>
          </w:p>
        </w:tc>
        <w:tc>
          <w:tcPr>
            <w:tcW w:type="dxa" w:w="2266"/>
          </w:tcPr>
          <w:p>
            <w:pPr>
              <w:spacing w:before="40" w:after="40" w:line="288" w:lineRule="auto"/>
            </w:pPr>
            <w:r/>
            <w:r>
              <w:rPr>
                <w:rFonts w:ascii="Microsoft YaHei" w:hAnsi="Microsoft YaHei"/>
                <w:sz w:val="18"/>
              </w:rPr>
              <w:t>1.44亿</w:t>
            </w:r>
          </w:p>
        </w:tc>
      </w:tr>
      <w:tr>
        <w:tc>
          <w:tcPr>
            <w:tcW w:type="dxa" w:w="2266"/>
            <w:shd w:fill="F8F9FA" w:val="clear"/>
          </w:tcPr>
          <w:p>
            <w:pPr>
              <w:spacing w:before="40" w:after="40" w:line="288" w:lineRule="auto"/>
            </w:pPr>
            <w:r/>
            <w:r>
              <w:rPr>
                <w:rFonts w:ascii="Microsoft YaHei" w:hAnsi="Microsoft YaHei"/>
                <w:b/>
                <w:color w:val="1A1A1A"/>
                <w:sz w:val="18"/>
              </w:rPr>
              <w:t>合计</w:t>
            </w:r>
          </w:p>
        </w:tc>
        <w:tc>
          <w:tcPr>
            <w:tcW w:type="dxa" w:w="2266"/>
            <w:shd w:fill="F8F9FA" w:val="clear"/>
          </w:tcPr>
          <w:p>
            <w:pPr>
              <w:spacing w:before="40" w:after="40" w:line="288" w:lineRule="auto"/>
            </w:pPr>
            <w:r/>
            <w:r>
              <w:rPr>
                <w:rFonts w:ascii="Microsoft YaHei" w:hAnsi="Microsoft YaHei"/>
                <w:b/>
                <w:color w:val="1A1A1A"/>
                <w:sz w:val="18"/>
              </w:rPr>
              <w:t>+3.56亿</w:t>
            </w:r>
          </w:p>
        </w:tc>
        <w:tc>
          <w:tcPr>
            <w:tcW w:type="dxa" w:w="2266"/>
            <w:shd w:fill="F8F9FA" w:val="clear"/>
          </w:tcPr>
          <w:p>
            <w:pPr>
              <w:spacing w:before="40" w:after="40" w:line="288" w:lineRule="auto"/>
            </w:pPr>
            <w:r/>
            <w:r>
              <w:rPr>
                <w:rFonts w:ascii="Microsoft YaHei" w:hAnsi="Microsoft YaHei"/>
                <w:sz w:val="18"/>
              </w:rPr>
              <w:t>—</w:t>
            </w:r>
          </w:p>
        </w:tc>
        <w:tc>
          <w:tcPr>
            <w:tcW w:type="dxa" w:w="2266"/>
            <w:shd w:fill="F8F9FA" w:val="clear"/>
          </w:tcPr>
          <w:p>
            <w:pPr>
              <w:spacing w:before="40" w:after="40" w:line="288" w:lineRule="auto"/>
            </w:pPr>
            <w:r/>
            <w:r>
              <w:rPr>
                <w:rFonts w:ascii="Microsoft YaHei" w:hAnsi="Microsoft YaHei"/>
                <w:sz w:val="18"/>
              </w:rPr>
              <w:t>—</w:t>
            </w:r>
          </w:p>
        </w:tc>
      </w:tr>
    </w:tbl>
    <w:p/>
    <w:p>
      <w:r>
        <w:rPr>
          <w:rFonts w:ascii="Microsoft YaHei" w:hAnsi="Microsoft YaHei"/>
        </w:rPr>
        <w:t xml:space="preserve">上一个交易日已呈现 </w:t>
      </w:r>
      <w:r>
        <w:rPr>
          <w:rFonts w:ascii="Microsoft YaHei" w:hAnsi="Microsoft YaHei"/>
          <w:b/>
          <w:color w:val="1A1A1A"/>
        </w:rPr>
        <w:t>大单+中单双线净流入</w:t>
      </w:r>
      <w:r>
        <w:rPr>
          <w:rFonts w:ascii="Microsoft YaHei" w:hAnsi="Microsoft YaHei"/>
        </w:rPr>
        <w:t xml:space="preserve">，合计净流入 </w:t>
      </w:r>
      <w:r>
        <w:rPr>
          <w:rFonts w:ascii="Microsoft YaHei" w:hAnsi="Microsoft YaHei"/>
          <w:b/>
          <w:color w:val="1A1A1A"/>
        </w:rPr>
        <w:t>3.56亿元</w:t>
      </w:r>
      <w:r>
        <w:rPr>
          <w:rFonts w:ascii="Microsoft YaHei" w:hAnsi="Microsoft YaHei"/>
        </w:rPr>
        <w:t>，小单小幅净流出。这种"大资金买入、散户卖出"的结构，是典型的主力吸筹信号。</w:t>
      </w:r>
    </w:p>
    <w:p>
      <w:pPr>
        <w:spacing w:before="280" w:after="80" w:line="312" w:lineRule="auto"/>
      </w:pPr>
      <w:r>
        <w:rPr>
          <w:rFonts w:ascii="Microsoft YaHei" w:hAnsi="Microsoft YaHei"/>
          <w:b/>
          <w:color w:val="333333"/>
          <w:sz w:val="24"/>
        </w:rPr>
        <w:t>融资融券（上一个交易日日终）</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余额</w:t>
            </w:r>
          </w:p>
        </w:tc>
        <w:tc>
          <w:tcPr>
            <w:tcW w:type="dxa" w:w="3022"/>
            <w:shd w:fill="F6F8FA" w:val="clear"/>
          </w:tcPr>
          <w:p>
            <w:pPr>
              <w:spacing w:before="40" w:after="40" w:line="288" w:lineRule="auto"/>
            </w:pPr>
            <w:r/>
            <w:r>
              <w:rPr>
                <w:rFonts w:ascii="Microsoft YaHei" w:hAnsi="Microsoft YaHei"/>
                <w:b/>
                <w:color w:val="1A1A1A"/>
                <w:sz w:val="18"/>
              </w:rPr>
              <w:t>较前日变动</w:t>
            </w:r>
          </w:p>
        </w:tc>
      </w:tr>
      <w:tr>
        <w:tc>
          <w:tcPr>
            <w:tcW w:type="dxa" w:w="3022"/>
          </w:tcPr>
          <w:p>
            <w:pPr>
              <w:spacing w:before="40" w:after="40" w:line="288" w:lineRule="auto"/>
            </w:pPr>
            <w:r/>
            <w:r>
              <w:rPr>
                <w:rFonts w:ascii="Microsoft YaHei" w:hAnsi="Microsoft YaHei"/>
                <w:sz w:val="18"/>
              </w:rPr>
              <w:t>融资余额</w:t>
            </w:r>
          </w:p>
        </w:tc>
        <w:tc>
          <w:tcPr>
            <w:tcW w:type="dxa" w:w="3022"/>
          </w:tcPr>
          <w:p>
            <w:pPr>
              <w:spacing w:before="40" w:after="40" w:line="288" w:lineRule="auto"/>
            </w:pPr>
            <w:r/>
            <w:r>
              <w:rPr>
                <w:rFonts w:ascii="Microsoft YaHei" w:hAnsi="Microsoft YaHei"/>
                <w:sz w:val="18"/>
              </w:rPr>
              <w:t>16.63亿</w:t>
            </w:r>
          </w:p>
        </w:tc>
        <w:tc>
          <w:tcPr>
            <w:tcW w:type="dxa" w:w="3022"/>
          </w:tcPr>
          <w:p>
            <w:pPr>
              <w:spacing w:before="40" w:after="40" w:line="288" w:lineRule="auto"/>
            </w:pPr>
            <w:r/>
            <w:r>
              <w:rPr>
                <w:rFonts w:ascii="Microsoft YaHei" w:hAnsi="Microsoft YaHei"/>
                <w:b/>
                <w:color w:val="1A1A1A"/>
                <w:sz w:val="18"/>
              </w:rPr>
              <w:t>-1.31%</w:t>
            </w:r>
          </w:p>
        </w:tc>
      </w:tr>
      <w:tr>
        <w:tc>
          <w:tcPr>
            <w:tcW w:type="dxa" w:w="3022"/>
            <w:shd w:fill="F8F9FA" w:val="clear"/>
          </w:tcPr>
          <w:p>
            <w:pPr>
              <w:spacing w:before="40" w:after="40" w:line="288" w:lineRule="auto"/>
            </w:pPr>
            <w:r/>
            <w:r>
              <w:rPr>
                <w:rFonts w:ascii="Microsoft YaHei" w:hAnsi="Microsoft YaHei"/>
                <w:sz w:val="18"/>
              </w:rPr>
              <w:t>融券余额</w:t>
            </w:r>
          </w:p>
        </w:tc>
        <w:tc>
          <w:tcPr>
            <w:tcW w:type="dxa" w:w="3022"/>
            <w:shd w:fill="F8F9FA" w:val="clear"/>
          </w:tcPr>
          <w:p>
            <w:pPr>
              <w:spacing w:before="40" w:after="40" w:line="288" w:lineRule="auto"/>
            </w:pPr>
            <w:r/>
            <w:r>
              <w:rPr>
                <w:rFonts w:ascii="Microsoft YaHei" w:hAnsi="Microsoft YaHei"/>
                <w:sz w:val="18"/>
              </w:rPr>
              <w:t>1.39亿</w:t>
            </w:r>
          </w:p>
        </w:tc>
        <w:tc>
          <w:tcPr>
            <w:tcW w:type="dxa" w:w="3022"/>
            <w:shd w:fill="F8F9FA" w:val="clear"/>
          </w:tcPr>
          <w:p>
            <w:pPr>
              <w:spacing w:before="40" w:after="40" w:line="288" w:lineRule="auto"/>
            </w:pPr>
            <w:r/>
            <w:r>
              <w:rPr>
                <w:rFonts w:ascii="Microsoft YaHei" w:hAnsi="Microsoft YaHei"/>
                <w:b/>
                <w:color w:val="1A1A1A"/>
                <w:sz w:val="18"/>
              </w:rPr>
              <w:t>+8.93%</w:t>
            </w:r>
          </w:p>
        </w:tc>
      </w:tr>
    </w:tbl>
    <w:p/>
    <w:p>
      <w:r>
        <w:rPr>
          <w:rFonts w:ascii="Microsoft YaHei" w:hAnsi="Microsoft YaHei"/>
        </w:rPr>
        <w:t xml:space="preserve">融资余额微降，融券余额有所增加，但考虑到今日股价 </w:t>
      </w:r>
      <w:r>
        <w:rPr>
          <w:rFonts w:ascii="Microsoft YaHei" w:hAnsi="Microsoft YaHei"/>
          <w:b/>
          <w:color w:val="1A1A1A"/>
        </w:rPr>
        <w:t>+2.57%</w:t>
      </w:r>
      <w:r>
        <w:rPr>
          <w:rFonts w:ascii="Microsoft YaHei" w:hAnsi="Microsoft YaHei"/>
        </w:rPr>
        <w:t xml:space="preserve"> 的强势表现，空头压力并未构成实质性威胁。</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p>
      <w:pPr>
        <w:spacing w:before="280" w:after="80" w:line="312" w:lineRule="auto"/>
      </w:pPr>
      <w:r>
        <w:rPr>
          <w:rFonts w:ascii="Microsoft YaHei" w:hAnsi="Microsoft YaHei"/>
          <w:b/>
          <w:color w:val="333333"/>
          <w:sz w:val="24"/>
        </w:rPr>
        <w:t>均线系统</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均线</w:t>
            </w:r>
          </w:p>
        </w:tc>
        <w:tc>
          <w:tcPr>
            <w:tcW w:type="dxa" w:w="2266"/>
            <w:shd w:fill="F6F8FA" w:val="clear"/>
          </w:tcPr>
          <w:p>
            <w:pPr>
              <w:spacing w:before="40" w:after="40" w:line="288" w:lineRule="auto"/>
            </w:pPr>
            <w:r/>
            <w:r>
              <w:rPr>
                <w:rFonts w:ascii="Microsoft YaHei" w:hAnsi="Microsoft YaHei"/>
                <w:b/>
                <w:color w:val="1A1A1A"/>
                <w:sz w:val="18"/>
              </w:rPr>
              <w:t>位置</w:t>
            </w:r>
          </w:p>
        </w:tc>
        <w:tc>
          <w:tcPr>
            <w:tcW w:type="dxa" w:w="2266"/>
            <w:shd w:fill="F6F8FA" w:val="clear"/>
          </w:tcPr>
          <w:p>
            <w:pPr>
              <w:spacing w:before="40" w:after="40" w:line="288" w:lineRule="auto"/>
            </w:pPr>
            <w:r/>
            <w:r>
              <w:rPr>
                <w:rFonts w:ascii="Microsoft YaHei" w:hAnsi="Microsoft YaHei"/>
                <w:b/>
                <w:color w:val="1A1A1A"/>
                <w:sz w:val="18"/>
              </w:rPr>
              <w:t>当前溢价</w:t>
            </w:r>
          </w:p>
        </w:tc>
        <w:tc>
          <w:tcPr>
            <w:tcW w:type="dxa" w:w="2266"/>
            <w:shd w:fill="F6F8FA" w:val="clear"/>
          </w:tcPr>
          <w:p>
            <w:pPr>
              <w:spacing w:before="40" w:after="40" w:line="288" w:lineRule="auto"/>
            </w:pPr>
            <w:r/>
            <w:r>
              <w:rPr>
                <w:rFonts w:ascii="Microsoft YaHei" w:hAnsi="Microsoft YaHei"/>
                <w:b/>
                <w:color w:val="1A1A1A"/>
                <w:sz w:val="18"/>
              </w:rPr>
              <w:t>信号</w:t>
            </w:r>
          </w:p>
        </w:tc>
      </w:tr>
      <w:tr>
        <w:tc>
          <w:tcPr>
            <w:tcW w:type="dxa" w:w="2266"/>
          </w:tcPr>
          <w:p>
            <w:pPr>
              <w:spacing w:before="40" w:after="40" w:line="288" w:lineRule="auto"/>
            </w:pPr>
            <w:r/>
            <w:r>
              <w:rPr>
                <w:rFonts w:ascii="Microsoft YaHei" w:hAnsi="Microsoft YaHei"/>
                <w:sz w:val="18"/>
              </w:rPr>
              <w:t>MA5</w:t>
            </w:r>
          </w:p>
        </w:tc>
        <w:tc>
          <w:tcPr>
            <w:tcW w:type="dxa" w:w="2266"/>
          </w:tcPr>
          <w:p>
            <w:pPr>
              <w:spacing w:before="40" w:after="40" w:line="288" w:lineRule="auto"/>
            </w:pPr>
            <w:r/>
            <w:r>
              <w:rPr>
                <w:rFonts w:ascii="Microsoft YaHei" w:hAnsi="Microsoft YaHei"/>
                <w:b/>
                <w:color w:val="1A1A1A"/>
                <w:sz w:val="18"/>
              </w:rPr>
              <w:t>94.72元</w:t>
            </w:r>
          </w:p>
        </w:tc>
        <w:tc>
          <w:tcPr>
            <w:tcW w:type="dxa" w:w="2266"/>
          </w:tcPr>
          <w:p>
            <w:pPr>
              <w:spacing w:before="40" w:after="40" w:line="288" w:lineRule="auto"/>
            </w:pPr>
            <w:r/>
            <w:r>
              <w:rPr>
                <w:rFonts w:ascii="Microsoft YaHei" w:hAnsi="Microsoft YaHei"/>
                <w:b/>
                <w:color w:val="1A1A1A"/>
                <w:sz w:val="18"/>
              </w:rPr>
              <w:t>+1.1%</w:t>
            </w:r>
          </w:p>
        </w:tc>
        <w:tc>
          <w:tcPr>
            <w:tcW w:type="dxa" w:w="2266"/>
          </w:tcPr>
          <w:p>
            <w:pPr>
              <w:spacing w:before="40" w:after="40" w:line="288" w:lineRule="auto"/>
            </w:pPr>
            <w:r/>
            <w:r>
              <w:rPr>
                <w:rFonts w:ascii="Microsoft YaHei" w:hAnsi="Microsoft YaHei"/>
                <w:sz w:val="18"/>
              </w:rPr>
              <w:t>强势站稳</w:t>
            </w:r>
          </w:p>
        </w:tc>
      </w:tr>
      <w:tr>
        <w:tc>
          <w:tcPr>
            <w:tcW w:type="dxa" w:w="2266"/>
            <w:shd w:fill="F8F9FA" w:val="clear"/>
          </w:tcPr>
          <w:p>
            <w:pPr>
              <w:spacing w:before="40" w:after="40" w:line="288" w:lineRule="auto"/>
            </w:pPr>
            <w:r/>
            <w:r>
              <w:rPr>
                <w:rFonts w:ascii="Microsoft YaHei" w:hAnsi="Microsoft YaHei"/>
                <w:sz w:val="18"/>
              </w:rPr>
              <w:t>MA10</w:t>
            </w:r>
          </w:p>
        </w:tc>
        <w:tc>
          <w:tcPr>
            <w:tcW w:type="dxa" w:w="2266"/>
            <w:shd w:fill="F8F9FA" w:val="clear"/>
          </w:tcPr>
          <w:p>
            <w:pPr>
              <w:spacing w:before="40" w:after="40" w:line="288" w:lineRule="auto"/>
            </w:pPr>
            <w:r/>
            <w:r>
              <w:rPr>
                <w:rFonts w:ascii="Microsoft YaHei" w:hAnsi="Microsoft YaHei"/>
                <w:b/>
                <w:color w:val="1A1A1A"/>
                <w:sz w:val="18"/>
              </w:rPr>
              <w:t>93.49元</w:t>
            </w:r>
          </w:p>
        </w:tc>
        <w:tc>
          <w:tcPr>
            <w:tcW w:type="dxa" w:w="2266"/>
            <w:shd w:fill="F8F9FA" w:val="clear"/>
          </w:tcPr>
          <w:p>
            <w:pPr>
              <w:spacing w:before="40" w:after="40" w:line="288" w:lineRule="auto"/>
            </w:pPr>
            <w:r/>
            <w:r>
              <w:rPr>
                <w:rFonts w:ascii="Microsoft YaHei" w:hAnsi="Microsoft YaHei"/>
                <w:b/>
                <w:color w:val="1A1A1A"/>
                <w:sz w:val="18"/>
              </w:rPr>
              <w:t>+2.5%</w:t>
            </w:r>
          </w:p>
        </w:tc>
        <w:tc>
          <w:tcPr>
            <w:tcW w:type="dxa" w:w="2266"/>
            <w:shd w:fill="F8F9FA" w:val="clear"/>
          </w:tcPr>
          <w:p>
            <w:pPr>
              <w:spacing w:before="40" w:after="40" w:line="288" w:lineRule="auto"/>
            </w:pPr>
            <w:r/>
            <w:r>
              <w:rPr>
                <w:rFonts w:ascii="Microsoft YaHei" w:hAnsi="Microsoft YaHei"/>
                <w:sz w:val="18"/>
              </w:rPr>
              <w:t>多头排列</w:t>
            </w:r>
          </w:p>
        </w:tc>
      </w:tr>
      <w:tr>
        <w:tc>
          <w:tcPr>
            <w:tcW w:type="dxa" w:w="2266"/>
          </w:tcPr>
          <w:p>
            <w:pPr>
              <w:spacing w:before="40" w:after="40" w:line="288" w:lineRule="auto"/>
            </w:pPr>
            <w:r/>
            <w:r>
              <w:rPr>
                <w:rFonts w:ascii="Microsoft YaHei" w:hAnsi="Microsoft YaHei"/>
                <w:sz w:val="18"/>
              </w:rPr>
              <w:t>MA20/中轨</w:t>
            </w:r>
          </w:p>
        </w:tc>
        <w:tc>
          <w:tcPr>
            <w:tcW w:type="dxa" w:w="2266"/>
          </w:tcPr>
          <w:p>
            <w:pPr>
              <w:spacing w:before="40" w:after="40" w:line="288" w:lineRule="auto"/>
            </w:pPr>
            <w:r/>
            <w:r>
              <w:rPr>
                <w:rFonts w:ascii="Microsoft YaHei" w:hAnsi="Microsoft YaHei"/>
                <w:b/>
                <w:color w:val="1A1A1A"/>
                <w:sz w:val="18"/>
              </w:rPr>
              <w:t>90.72元</w:t>
            </w:r>
          </w:p>
        </w:tc>
        <w:tc>
          <w:tcPr>
            <w:tcW w:type="dxa" w:w="2266"/>
          </w:tcPr>
          <w:p>
            <w:pPr>
              <w:spacing w:before="40" w:after="40" w:line="288" w:lineRule="auto"/>
            </w:pPr>
            <w:r/>
            <w:r>
              <w:rPr>
                <w:rFonts w:ascii="Microsoft YaHei" w:hAnsi="Microsoft YaHei"/>
                <w:b/>
                <w:color w:val="1A1A1A"/>
                <w:sz w:val="18"/>
              </w:rPr>
              <w:t>+5.6%</w:t>
            </w:r>
          </w:p>
        </w:tc>
        <w:tc>
          <w:tcPr>
            <w:tcW w:type="dxa" w:w="2266"/>
          </w:tcPr>
          <w:p>
            <w:pPr>
              <w:spacing w:before="40" w:after="40" w:line="288" w:lineRule="auto"/>
            </w:pPr>
            <w:r/>
            <w:r>
              <w:rPr>
                <w:rFonts w:ascii="Microsoft YaHei" w:hAnsi="Microsoft YaHei"/>
                <w:sz w:val="18"/>
              </w:rPr>
              <w:t>趋势向上</w:t>
            </w:r>
          </w:p>
        </w:tc>
      </w:tr>
    </w:tbl>
    <w:p/>
    <w:p>
      <w:pPr>
        <w:spacing w:before="280" w:after="80" w:line="312" w:lineRule="auto"/>
      </w:pPr>
      <w:r>
        <w:rPr>
          <w:rFonts w:ascii="Microsoft YaHei" w:hAnsi="Microsoft YaHei"/>
          <w:b/>
          <w:color w:val="333333"/>
          <w:sz w:val="24"/>
        </w:rPr>
        <w:t>布林带</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布林带上轨</w:t>
            </w:r>
          </w:p>
        </w:tc>
        <w:tc>
          <w:tcPr>
            <w:tcW w:type="dxa" w:w="4533"/>
          </w:tcPr>
          <w:p>
            <w:pPr>
              <w:spacing w:before="40" w:after="40" w:line="288" w:lineRule="auto"/>
            </w:pPr>
            <w:r/>
            <w:r>
              <w:rPr>
                <w:rFonts w:ascii="Microsoft YaHei" w:hAnsi="Microsoft YaHei"/>
                <w:b/>
                <w:color w:val="1A1A1A"/>
                <w:sz w:val="18"/>
              </w:rPr>
              <w:t>96.82元</w:t>
            </w:r>
          </w:p>
        </w:tc>
      </w:tr>
      <w:tr>
        <w:tc>
          <w:tcPr>
            <w:tcW w:type="dxa" w:w="4533"/>
            <w:shd w:fill="F8F9FA" w:val="clear"/>
          </w:tcPr>
          <w:p>
            <w:pPr>
              <w:spacing w:before="40" w:after="40" w:line="288" w:lineRule="auto"/>
            </w:pPr>
            <w:r/>
            <w:r>
              <w:rPr>
                <w:rFonts w:ascii="Microsoft YaHei" w:hAnsi="Microsoft YaHei"/>
                <w:sz w:val="18"/>
              </w:rPr>
              <w:t>当前价</w:t>
            </w:r>
          </w:p>
        </w:tc>
        <w:tc>
          <w:tcPr>
            <w:tcW w:type="dxa" w:w="4533"/>
            <w:shd w:fill="F8F9FA" w:val="clear"/>
          </w:tcPr>
          <w:p>
            <w:pPr>
              <w:spacing w:before="40" w:after="40" w:line="288" w:lineRule="auto"/>
            </w:pPr>
            <w:r/>
            <w:r>
              <w:rPr>
                <w:rFonts w:ascii="Microsoft YaHei" w:hAnsi="Microsoft YaHei"/>
                <w:sz w:val="18"/>
              </w:rPr>
              <w:t xml:space="preserve">95.80元（距上轨约 </w:t>
            </w:r>
            <w:r>
              <w:rPr>
                <w:rFonts w:ascii="Microsoft YaHei" w:hAnsi="Microsoft YaHei"/>
                <w:b/>
                <w:color w:val="1A1A1A"/>
                <w:sz w:val="18"/>
              </w:rPr>
              <w:t>1.1%</w:t>
            </w:r>
            <w:r>
              <w:rPr>
                <w:rFonts w:ascii="Microsoft YaHei" w:hAnsi="Microsoft YaHei"/>
                <w:sz w:val="18"/>
              </w:rPr>
              <w:t>）</w:t>
            </w:r>
          </w:p>
        </w:tc>
      </w:tr>
      <w:tr>
        <w:tc>
          <w:tcPr>
            <w:tcW w:type="dxa" w:w="4533"/>
          </w:tcPr>
          <w:p>
            <w:pPr>
              <w:spacing w:before="40" w:after="40" w:line="288" w:lineRule="auto"/>
            </w:pPr>
            <w:r/>
            <w:r>
              <w:rPr>
                <w:rFonts w:ascii="Microsoft YaHei" w:hAnsi="Microsoft YaHei"/>
                <w:sz w:val="18"/>
              </w:rPr>
              <w:t>布林带下轨</w:t>
            </w:r>
          </w:p>
        </w:tc>
        <w:tc>
          <w:tcPr>
            <w:tcW w:type="dxa" w:w="4533"/>
          </w:tcPr>
          <w:p>
            <w:pPr>
              <w:spacing w:before="40" w:after="40" w:line="288" w:lineRule="auto"/>
            </w:pPr>
            <w:r/>
            <w:r>
              <w:rPr>
                <w:rFonts w:ascii="Microsoft YaHei" w:hAnsi="Microsoft YaHei"/>
                <w:sz w:val="18"/>
              </w:rPr>
              <w:t>84.62元</w:t>
            </w:r>
          </w:p>
        </w:tc>
      </w:tr>
      <w:tr>
        <w:tc>
          <w:tcPr>
            <w:tcW w:type="dxa" w:w="4533"/>
            <w:shd w:fill="F8F9FA" w:val="clear"/>
          </w:tcPr>
          <w:p>
            <w:pPr>
              <w:spacing w:before="40" w:after="40" w:line="288" w:lineRule="auto"/>
            </w:pPr>
            <w:r/>
            <w:r>
              <w:rPr>
                <w:rFonts w:ascii="Microsoft YaHei" w:hAnsi="Microsoft YaHei"/>
                <w:sz w:val="18"/>
              </w:rPr>
              <w:t>带宽</w:t>
            </w:r>
          </w:p>
        </w:tc>
        <w:tc>
          <w:tcPr>
            <w:tcW w:type="dxa" w:w="4533"/>
            <w:shd w:fill="F8F9FA" w:val="clear"/>
          </w:tcPr>
          <w:p>
            <w:pPr>
              <w:spacing w:before="40" w:after="40" w:line="288" w:lineRule="auto"/>
            </w:pPr>
            <w:r/>
            <w:r>
              <w:rPr>
                <w:rFonts w:ascii="Microsoft YaHei" w:hAnsi="Microsoft YaHei"/>
                <w:sz w:val="18"/>
              </w:rPr>
              <w:t>12.20元（较宽）</w:t>
            </w:r>
          </w:p>
        </w:tc>
      </w:tr>
    </w:tbl>
    <w:p/>
    <w:p>
      <w:r>
        <w:rPr>
          <w:rFonts w:ascii="Microsoft YaHei" w:hAnsi="Microsoft YaHei"/>
          <w:b/>
          <w:color w:val="1A1A1A"/>
        </w:rPr>
        <w:t>技术面研判：</w:t>
      </w:r>
    </w:p>
    <w:p>
      <w:pPr>
        <w:pStyle w:val="ListBullet"/>
      </w:pPr>
      <w:r>
        <w:rPr>
          <w:rFonts w:ascii="Microsoft YaHei" w:hAnsi="Microsoft YaHei"/>
        </w:rPr>
        <w:t xml:space="preserve">当前价格 </w:t>
      </w:r>
      <w:r>
        <w:rPr>
          <w:rFonts w:ascii="Microsoft YaHei" w:hAnsi="Microsoft YaHei"/>
          <w:b/>
          <w:color w:val="1A1A1A"/>
        </w:rPr>
        <w:t>95.80元</w:t>
      </w:r>
      <w:r>
        <w:rPr>
          <w:rFonts w:ascii="Microsoft YaHei" w:hAnsi="Microsoft YaHei"/>
        </w:rPr>
        <w:t xml:space="preserve"> 已站稳MA5（94.72）、MA10（93.49）和MA20（90.72）三条均线上方，形成 </w:t>
      </w:r>
      <w:r>
        <w:rPr>
          <w:rFonts w:ascii="Microsoft YaHei" w:hAnsi="Microsoft YaHei"/>
          <w:b/>
          <w:color w:val="1A1A1A"/>
        </w:rPr>
        <w:t>标准多头排列</w:t>
      </w:r>
      <w:r>
        <w:rPr>
          <w:rFonts w:ascii="Microsoft YaHei" w:hAnsi="Microsoft YaHei"/>
        </w:rPr>
        <w:t>。</w:t>
      </w:r>
    </w:p>
    <w:p>
      <w:pPr>
        <w:pStyle w:val="ListBullet"/>
      </w:pPr>
      <w:r>
        <w:rPr>
          <w:rFonts w:ascii="Microsoft YaHei" w:hAnsi="Microsoft YaHei"/>
        </w:rPr>
        <w:t xml:space="preserve">价格距MA20/中轨的偏离度为 </w:t>
      </w:r>
      <w:r>
        <w:rPr>
          <w:rFonts w:ascii="Microsoft YaHei" w:hAnsi="Microsoft YaHei"/>
          <w:b/>
          <w:color w:val="1A1A1A"/>
        </w:rPr>
        <w:t>+5.6%</w:t>
      </w:r>
      <w:r>
        <w:rPr>
          <w:rFonts w:ascii="Microsoft YaHei" w:hAnsi="Microsoft YaHei"/>
        </w:rPr>
        <w:t>，处于温和偏强但未严重超买的区间。</w:t>
      </w:r>
    </w:p>
    <w:p>
      <w:pPr>
        <w:pStyle w:val="ListBullet"/>
      </w:pPr>
      <w:r>
        <w:rPr>
          <w:rFonts w:ascii="Microsoft YaHei" w:hAnsi="Microsoft YaHei"/>
        </w:rPr>
        <w:t xml:space="preserve">布林带上轨在 </w:t>
      </w:r>
      <w:r>
        <w:rPr>
          <w:rFonts w:ascii="Microsoft YaHei" w:hAnsi="Microsoft YaHei"/>
          <w:b/>
          <w:color w:val="1A1A1A"/>
        </w:rPr>
        <w:t>96.82元</w:t>
      </w:r>
      <w:r>
        <w:rPr>
          <w:rFonts w:ascii="Microsoft YaHei" w:hAnsi="Microsoft YaHei"/>
        </w:rPr>
        <w:t xml:space="preserve">，当前价距上轨仅 </w:t>
      </w:r>
      <w:r>
        <w:rPr>
          <w:rFonts w:ascii="Microsoft YaHei" w:hAnsi="Microsoft YaHei"/>
          <w:b/>
          <w:color w:val="1A1A1A"/>
        </w:rPr>
        <w:t>1.1%</w:t>
      </w:r>
      <w:r>
        <w:rPr>
          <w:rFonts w:ascii="Microsoft YaHei" w:hAnsi="Microsoft YaHei"/>
        </w:rPr>
        <w:t>，面临一定技术压力。若午后能突破96.82元关口，则有望打开新的上行空间。</w:t>
      </w:r>
    </w:p>
    <w:p>
      <w:pPr>
        <w:pStyle w:val="ListBullet"/>
      </w:pPr>
      <w:r>
        <w:rPr>
          <w:rFonts w:ascii="Microsoft YaHei" w:hAnsi="Microsoft YaHei"/>
        </w:rPr>
        <w:t>盘中监测显示，</w:t>
      </w:r>
      <w:r>
        <w:rPr>
          <w:rFonts w:ascii="Microsoft YaHei" w:hAnsi="Microsoft YaHei"/>
          <w:b/>
          <w:color w:val="1A1A1A"/>
        </w:rPr>
        <w:t>13:41:27</w:t>
      </w:r>
      <w:r>
        <w:rPr>
          <w:rFonts w:ascii="Microsoft YaHei" w:hAnsi="Microsoft YaHei"/>
        </w:rPr>
        <w:t xml:space="preserve"> 创出 </w:t>
      </w:r>
      <w:r>
        <w:rPr>
          <w:rFonts w:ascii="Microsoft YaHei" w:hAnsi="Microsoft YaHei"/>
          <w:b/>
          <w:color w:val="1A1A1A"/>
        </w:rPr>
        <w:t>60日新高96.62元</w:t>
      </w:r>
      <w:r>
        <w:rPr>
          <w:rFonts w:ascii="Microsoft YaHei" w:hAnsi="Microsoft YaHei"/>
        </w:rPr>
        <w:t>，为强势确认信号。</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重点新闻解读</w:t>
      </w:r>
    </w:p>
    <w:p>
      <w:pPr>
        <w:pStyle w:val="ListNumber"/>
      </w:pPr>
      <w:r>
        <w:rPr>
          <w:rFonts w:ascii="Microsoft YaHei" w:hAnsi="Microsoft YaHei"/>
          <w:b/>
          <w:color w:val="1A1A1A"/>
        </w:rPr>
        <w:t>【177亿元！中国移动PC服务器集采落定：ARM占比超65%创纪录】</w:t>
      </w:r>
      <w:r>
        <w:rPr>
          <w:rFonts w:ascii="Microsoft YaHei" w:hAnsi="Microsoft YaHei"/>
        </w:rPr>
        <w:t>（a_07）</w:t>
      </w:r>
    </w:p>
    <w:p>
      <w:r>
        <w:rPr>
          <w:rFonts w:ascii="Microsoft YaHei" w:hAnsi="Microsoft YaHei"/>
        </w:rPr>
        <w:t xml:space="preserve">   - </w:t>
      </w:r>
      <w:r>
        <w:rPr>
          <w:rFonts w:ascii="Microsoft YaHei" w:hAnsi="Microsoft YaHei"/>
          <w:b/>
          <w:color w:val="1A1A1A"/>
        </w:rPr>
        <w:t>影响判断：正面。</w:t>
      </w:r>
      <w:r>
        <w:rPr>
          <w:rFonts w:ascii="Microsoft YaHei" w:hAnsi="Microsoft YaHei"/>
        </w:rPr>
        <w:t xml:space="preserve"> 177亿元的超大规模服务器集采体现了中国移动在算力基础设施上的持续高投入。ARM架构占比 </w:t>
      </w:r>
      <w:r>
        <w:rPr>
          <w:rFonts w:ascii="Microsoft YaHei" w:hAnsi="Microsoft YaHei"/>
          <w:b/>
          <w:color w:val="1A1A1A"/>
        </w:rPr>
        <w:t>超65%</w:t>
      </w:r>
      <w:r>
        <w:rPr>
          <w:rFonts w:ascii="Microsoft YaHei" w:hAnsi="Microsoft YaHei"/>
        </w:rPr>
        <w:t xml:space="preserve"> 创纪录，表明中国移动在国产化和信创替代方面加速推进，有利于产业链合作伙伴以及公司自身的算力网络战略落地。</w:t>
      </w:r>
    </w:p>
    <w:p>
      <w:pPr>
        <w:pStyle w:val="ListNumber"/>
      </w:pPr>
      <w:r>
        <w:rPr>
          <w:rFonts w:ascii="Microsoft YaHei" w:hAnsi="Microsoft YaHei"/>
          <w:b/>
          <w:color w:val="1A1A1A"/>
        </w:rPr>
        <w:t>【沪市2025年报分红已派发超万亿，红利低波ETF年内净流入近230亿元】</w:t>
      </w:r>
      <w:r>
        <w:rPr>
          <w:rFonts w:ascii="Microsoft YaHei" w:hAnsi="Microsoft YaHei"/>
        </w:rPr>
        <w:t>（a_02）</w:t>
      </w:r>
    </w:p>
    <w:p>
      <w:r>
        <w:rPr>
          <w:rFonts w:ascii="Microsoft YaHei" w:hAnsi="Microsoft YaHei"/>
        </w:rPr>
        <w:t xml:space="preserve">   - </w:t>
      </w:r>
      <w:r>
        <w:rPr>
          <w:rFonts w:ascii="Microsoft YaHei" w:hAnsi="Microsoft YaHei"/>
          <w:b/>
          <w:color w:val="1A1A1A"/>
        </w:rPr>
        <w:t>影响判断：偏正面。</w:t>
      </w:r>
      <w:r>
        <w:rPr>
          <w:rFonts w:ascii="Microsoft YaHei" w:hAnsi="Microsoft YaHei"/>
        </w:rPr>
        <w:t xml:space="preserve"> 中国移动作为A股高分红标杆标的（当前股息率约4%-5%），受益于红利策略资金的持续流入。红利低波ETF年内净流入近230亿，增量资金对中移动构成持续买盘支撑。</w:t>
      </w:r>
    </w:p>
    <w:p>
      <w:pPr>
        <w:pStyle w:val="ListNumber"/>
      </w:pPr>
      <w:r>
        <w:rPr>
          <w:rFonts w:ascii="Microsoft YaHei" w:hAnsi="Microsoft YaHei"/>
          <w:b/>
          <w:color w:val="1A1A1A"/>
        </w:rPr>
        <w:t>【中国电信前5月政企收入还是负增长】</w:t>
      </w:r>
      <w:r>
        <w:rPr>
          <w:rFonts w:ascii="Microsoft YaHei" w:hAnsi="Microsoft YaHei"/>
        </w:rPr>
        <w:t>（a_10）</w:t>
      </w:r>
    </w:p>
    <w:p>
      <w:r>
        <w:rPr>
          <w:rFonts w:ascii="Microsoft YaHei" w:hAnsi="Microsoft YaHei"/>
        </w:rPr>
        <w:t xml:space="preserve">   - </w:t>
      </w:r>
      <w:r>
        <w:rPr>
          <w:rFonts w:ascii="Microsoft YaHei" w:hAnsi="Microsoft YaHei"/>
          <w:b/>
          <w:color w:val="1A1A1A"/>
        </w:rPr>
        <w:t>影响判断：偏正面（同业对比）。</w:t>
      </w:r>
      <w:r>
        <w:rPr>
          <w:rFonts w:ascii="Microsoft YaHei" w:hAnsi="Microsoft YaHei"/>
        </w:rPr>
        <w:t xml:space="preserve"> 中国电信在政企市场的承压，侧面反映出行业竞争格局下中国移动政企业务的相对优势，可能构成资金从电信向移动切换的催化剂。</w:t>
      </w:r>
    </w:p>
    <w:p>
      <w:pPr>
        <w:pStyle w:val="ListNumber"/>
      </w:pPr>
      <w:r>
        <w:rPr>
          <w:rFonts w:ascii="Microsoft YaHei" w:hAnsi="Microsoft YaHei"/>
          <w:b/>
          <w:color w:val="1A1A1A"/>
        </w:rPr>
        <w:t>【中国移动咪咕《刻梦》用微短剧刻下古今奇遇】</w:t>
      </w:r>
      <w:r>
        <w:rPr>
          <w:rFonts w:ascii="Microsoft YaHei" w:hAnsi="Microsoft YaHei"/>
        </w:rPr>
        <w:t xml:space="preserve">（a_06）&amp; </w:t>
      </w:r>
      <w:r>
        <w:rPr>
          <w:rFonts w:ascii="Microsoft YaHei" w:hAnsi="Microsoft YaHei"/>
          <w:b/>
          <w:color w:val="1A1A1A"/>
        </w:rPr>
        <w:t>【内蒙古公司以创新模式赋能草原文旅发展】</w:t>
      </w:r>
      <w:r>
        <w:rPr>
          <w:rFonts w:ascii="Microsoft YaHei" w:hAnsi="Microsoft YaHei"/>
        </w:rPr>
        <w:t>（a_09）</w:t>
      </w:r>
    </w:p>
    <w:p>
      <w:r>
        <w:rPr>
          <w:rFonts w:ascii="Microsoft YaHei" w:hAnsi="Microsoft YaHei"/>
        </w:rPr>
        <w:t xml:space="preserve">   - </w:t>
      </w:r>
      <w:r>
        <w:rPr>
          <w:rFonts w:ascii="Microsoft YaHei" w:hAnsi="Microsoft YaHei"/>
          <w:b/>
          <w:color w:val="1A1A1A"/>
        </w:rPr>
        <w:t>影响判断：中性偏正面。</w:t>
      </w:r>
      <w:r>
        <w:rPr>
          <w:rFonts w:ascii="Microsoft YaHei" w:hAnsi="Microsoft YaHei"/>
        </w:rPr>
        <w:t xml:space="preserve"> 中国移动在AI+文化、数字文旅等创新业务上的持续布局，体现了公司从传统运营商向数字经济服务商转型的积极进展，尽管短期对业绩贡献有限，但有助于提升估值想象力。</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p>
      <w:r>
        <w:rPr>
          <w:rFonts w:ascii="Microsoft YaHei" w:hAnsi="Microsoft YaHei"/>
        </w:rPr>
        <w:t>中国移动所属多维度板块表现如下：</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排名</w:t>
            </w:r>
          </w:p>
        </w:tc>
        <w:tc>
          <w:tcPr>
            <w:tcW w:type="dxa" w:w="2266"/>
            <w:shd w:fill="F6F8FA" w:val="clear"/>
          </w:tcPr>
          <w:p>
            <w:pPr>
              <w:spacing w:before="40" w:after="40" w:line="288" w:lineRule="auto"/>
            </w:pPr>
            <w:r/>
            <w:r>
              <w:rPr>
                <w:rFonts w:ascii="Microsoft YaHei" w:hAnsi="Microsoft YaHei"/>
                <w:b/>
                <w:color w:val="1A1A1A"/>
                <w:sz w:val="18"/>
              </w:rPr>
              <w:t>该股在板块中表现</w:t>
            </w:r>
          </w:p>
        </w:tc>
      </w:tr>
      <w:tr>
        <w:tc>
          <w:tcPr>
            <w:tcW w:type="dxa" w:w="2266"/>
          </w:tcPr>
          <w:p>
            <w:pPr>
              <w:spacing w:before="40" w:after="40" w:line="288" w:lineRule="auto"/>
            </w:pPr>
            <w:r/>
            <w:r>
              <w:rPr>
                <w:rFonts w:ascii="Microsoft YaHei" w:hAnsi="Microsoft YaHei"/>
                <w:sz w:val="18"/>
              </w:rPr>
              <w:t>沪深300样本股</w:t>
            </w:r>
          </w:p>
        </w:tc>
        <w:tc>
          <w:tcPr>
            <w:tcW w:type="dxa" w:w="2266"/>
          </w:tcPr>
          <w:p>
            <w:pPr>
              <w:spacing w:before="40" w:after="40" w:line="288" w:lineRule="auto"/>
            </w:pPr>
            <w:r/>
            <w:r>
              <w:rPr>
                <w:rFonts w:ascii="Microsoft YaHei" w:hAnsi="Microsoft YaHei"/>
                <w:b/>
                <w:color w:val="1A1A1A"/>
                <w:sz w:val="18"/>
              </w:rPr>
              <w:t>+1.57%</w:t>
            </w:r>
          </w:p>
        </w:tc>
        <w:tc>
          <w:tcPr>
            <w:tcW w:type="dxa" w:w="2266"/>
          </w:tcPr>
          <w:p>
            <w:pPr>
              <w:spacing w:before="40" w:after="40" w:line="288" w:lineRule="auto"/>
            </w:pPr>
            <w:r/>
            <w:r>
              <w:rPr>
                <w:rFonts w:ascii="Microsoft YaHei" w:hAnsi="Microsoft YaHei"/>
                <w:sz w:val="18"/>
              </w:rPr>
              <w:t>75/1158</w:t>
            </w:r>
          </w:p>
        </w:tc>
        <w:tc>
          <w:tcPr>
            <w:tcW w:type="dxa" w:w="2266"/>
          </w:tcPr>
          <w:p>
            <w:pPr>
              <w:spacing w:before="40" w:after="40" w:line="288" w:lineRule="auto"/>
            </w:pPr>
            <w:r/>
            <w:r>
              <w:rPr>
                <w:rFonts w:ascii="Microsoft YaHei" w:hAnsi="Microsoft YaHei"/>
                <w:sz w:val="18"/>
              </w:rPr>
              <w:t>139/319，优于均值</w:t>
            </w:r>
          </w:p>
        </w:tc>
      </w:tr>
      <w:tr>
        <w:tc>
          <w:tcPr>
            <w:tcW w:type="dxa" w:w="2266"/>
            <w:shd w:fill="F8F9FA" w:val="clear"/>
          </w:tcPr>
          <w:p>
            <w:pPr>
              <w:spacing w:before="40" w:after="40" w:line="288" w:lineRule="auto"/>
            </w:pPr>
            <w:r/>
            <w:r>
              <w:rPr>
                <w:rFonts w:ascii="Microsoft YaHei" w:hAnsi="Microsoft YaHei"/>
                <w:sz w:val="18"/>
              </w:rPr>
              <w:t>上证180成份股</w:t>
            </w:r>
          </w:p>
        </w:tc>
        <w:tc>
          <w:tcPr>
            <w:tcW w:type="dxa" w:w="2266"/>
            <w:shd w:fill="F8F9FA" w:val="clear"/>
          </w:tcPr>
          <w:p>
            <w:pPr>
              <w:spacing w:before="40" w:after="40" w:line="288" w:lineRule="auto"/>
            </w:pPr>
            <w:r/>
            <w:r>
              <w:rPr>
                <w:rFonts w:ascii="Microsoft YaHei" w:hAnsi="Microsoft YaHei"/>
                <w:b/>
                <w:color w:val="1A1A1A"/>
                <w:sz w:val="18"/>
              </w:rPr>
              <w:t>+1.79%</w:t>
            </w:r>
          </w:p>
        </w:tc>
        <w:tc>
          <w:tcPr>
            <w:tcW w:type="dxa" w:w="2266"/>
            <w:shd w:fill="F8F9FA" w:val="clear"/>
          </w:tcPr>
          <w:p>
            <w:pPr>
              <w:spacing w:before="40" w:after="40" w:line="288" w:lineRule="auto"/>
            </w:pPr>
            <w:r/>
            <w:r>
              <w:rPr>
                <w:rFonts w:ascii="Microsoft YaHei" w:hAnsi="Microsoft YaHei"/>
                <w:sz w:val="18"/>
              </w:rPr>
              <w:t>62/1158</w:t>
            </w:r>
          </w:p>
        </w:tc>
        <w:tc>
          <w:tcPr>
            <w:tcW w:type="dxa" w:w="2266"/>
            <w:shd w:fill="F8F9FA" w:val="clear"/>
          </w:tcPr>
          <w:p>
            <w:pPr>
              <w:spacing w:before="40" w:after="40" w:line="288" w:lineRule="auto"/>
            </w:pPr>
            <w:r/>
            <w:r>
              <w:rPr>
                <w:rFonts w:ascii="Microsoft YaHei" w:hAnsi="Microsoft YaHei"/>
                <w:sz w:val="18"/>
              </w:rPr>
              <w:t>86/197，优于均值</w:t>
            </w:r>
          </w:p>
        </w:tc>
      </w:tr>
      <w:tr>
        <w:tc>
          <w:tcPr>
            <w:tcW w:type="dxa" w:w="2266"/>
          </w:tcPr>
          <w:p>
            <w:pPr>
              <w:spacing w:before="40" w:after="40" w:line="288" w:lineRule="auto"/>
            </w:pPr>
            <w:r/>
            <w:r>
              <w:rPr>
                <w:rFonts w:ascii="Microsoft YaHei" w:hAnsi="Microsoft YaHei"/>
                <w:sz w:val="18"/>
              </w:rPr>
              <w:t>综合电信业务Ⅲ(A股)</w:t>
            </w:r>
          </w:p>
        </w:tc>
        <w:tc>
          <w:tcPr>
            <w:tcW w:type="dxa" w:w="2266"/>
          </w:tcPr>
          <w:p>
            <w:pPr>
              <w:spacing w:before="40" w:after="40" w:line="288" w:lineRule="auto"/>
            </w:pPr>
            <w:r/>
            <w:r>
              <w:rPr>
                <w:rFonts w:ascii="Microsoft YaHei" w:hAnsi="Microsoft YaHei"/>
                <w:sz w:val="18"/>
              </w:rPr>
              <w:t>-0.07%</w:t>
            </w:r>
          </w:p>
        </w:tc>
        <w:tc>
          <w:tcPr>
            <w:tcW w:type="dxa" w:w="2266"/>
          </w:tcPr>
          <w:p>
            <w:pPr>
              <w:spacing w:before="40" w:after="40" w:line="288" w:lineRule="auto"/>
            </w:pPr>
            <w:r/>
            <w:r>
              <w:rPr>
                <w:rFonts w:ascii="Microsoft YaHei" w:hAnsi="Microsoft YaHei"/>
                <w:sz w:val="18"/>
              </w:rPr>
              <w:t>226/1158</w:t>
            </w:r>
          </w:p>
        </w:tc>
        <w:tc>
          <w:tcPr>
            <w:tcW w:type="dxa" w:w="2266"/>
          </w:tcPr>
          <w:p>
            <w:pPr>
              <w:spacing w:before="40" w:after="40" w:line="288" w:lineRule="auto"/>
            </w:pPr>
            <w:r/>
            <w:r>
              <w:rPr>
                <w:rFonts w:ascii="Microsoft YaHei" w:hAnsi="Microsoft YaHei"/>
                <w:b/>
                <w:color w:val="1A1A1A"/>
                <w:sz w:val="18"/>
              </w:rPr>
              <w:t>4/10</w:t>
            </w:r>
          </w:p>
        </w:tc>
      </w:tr>
      <w:tr>
        <w:tc>
          <w:tcPr>
            <w:tcW w:type="dxa" w:w="2266"/>
            <w:shd w:fill="F8F9FA" w:val="clear"/>
          </w:tcPr>
          <w:p>
            <w:pPr>
              <w:spacing w:before="40" w:after="40" w:line="288" w:lineRule="auto"/>
            </w:pPr>
            <w:r/>
            <w:r>
              <w:rPr>
                <w:rFonts w:ascii="Microsoft YaHei" w:hAnsi="Microsoft YaHei"/>
                <w:sz w:val="18"/>
              </w:rPr>
              <w:t>综合电信业务Ⅳ(A股)</w:t>
            </w:r>
          </w:p>
        </w:tc>
        <w:tc>
          <w:tcPr>
            <w:tcW w:type="dxa" w:w="2266"/>
            <w:shd w:fill="F8F9FA" w:val="clear"/>
          </w:tcPr>
          <w:p>
            <w:pPr>
              <w:spacing w:before="40" w:after="40" w:line="288" w:lineRule="auto"/>
            </w:pPr>
            <w:r/>
            <w:r>
              <w:rPr>
                <w:rFonts w:ascii="Microsoft YaHei" w:hAnsi="Microsoft YaHei"/>
                <w:sz w:val="18"/>
              </w:rPr>
              <w:t>-0.77%</w:t>
            </w:r>
          </w:p>
        </w:tc>
        <w:tc>
          <w:tcPr>
            <w:tcW w:type="dxa" w:w="2266"/>
            <w:shd w:fill="F8F9FA" w:val="clear"/>
          </w:tcPr>
          <w:p>
            <w:pPr>
              <w:spacing w:before="40" w:after="40" w:line="288" w:lineRule="auto"/>
            </w:pPr>
            <w:r/>
            <w:r>
              <w:rPr>
                <w:rFonts w:ascii="Microsoft YaHei" w:hAnsi="Microsoft YaHei"/>
                <w:sz w:val="18"/>
              </w:rPr>
              <w:t>367/1158</w:t>
            </w:r>
          </w:p>
        </w:tc>
        <w:tc>
          <w:tcPr>
            <w:tcW w:type="dxa" w:w="2266"/>
            <w:shd w:fill="F8F9FA" w:val="clear"/>
          </w:tcPr>
          <w:p>
            <w:pPr>
              <w:spacing w:before="40" w:after="40" w:line="288" w:lineRule="auto"/>
            </w:pPr>
            <w:r/>
            <w:r>
              <w:rPr>
                <w:rFonts w:ascii="Microsoft YaHei" w:hAnsi="Microsoft YaHei"/>
                <w:b/>
                <w:color w:val="1A1A1A"/>
                <w:sz w:val="18"/>
              </w:rPr>
              <w:t>3/5</w:t>
            </w:r>
          </w:p>
        </w:tc>
      </w:tr>
      <w:tr>
        <w:tc>
          <w:tcPr>
            <w:tcW w:type="dxa" w:w="2266"/>
          </w:tcPr>
          <w:p>
            <w:pPr>
              <w:spacing w:before="40" w:after="40" w:line="288" w:lineRule="auto"/>
            </w:pPr>
            <w:r/>
            <w:r>
              <w:rPr>
                <w:rFonts w:ascii="Microsoft YaHei" w:hAnsi="Microsoft YaHei"/>
                <w:sz w:val="18"/>
              </w:rPr>
              <w:t>电信业务(A股)</w:t>
            </w:r>
          </w:p>
        </w:tc>
        <w:tc>
          <w:tcPr>
            <w:tcW w:type="dxa" w:w="2266"/>
          </w:tcPr>
          <w:p>
            <w:pPr>
              <w:spacing w:before="40" w:after="40" w:line="288" w:lineRule="auto"/>
            </w:pPr>
            <w:r/>
            <w:r>
              <w:rPr>
                <w:rFonts w:ascii="Microsoft YaHei" w:hAnsi="Microsoft YaHei"/>
                <w:sz w:val="18"/>
              </w:rPr>
              <w:t>-1.66%</w:t>
            </w:r>
          </w:p>
        </w:tc>
        <w:tc>
          <w:tcPr>
            <w:tcW w:type="dxa" w:w="2266"/>
          </w:tcPr>
          <w:p>
            <w:pPr>
              <w:spacing w:before="40" w:after="40" w:line="288" w:lineRule="auto"/>
            </w:pPr>
            <w:r/>
            <w:r>
              <w:rPr>
                <w:rFonts w:ascii="Microsoft YaHei" w:hAnsi="Microsoft YaHei"/>
                <w:sz w:val="18"/>
              </w:rPr>
              <w:t>572/1158</w:t>
            </w:r>
          </w:p>
        </w:tc>
        <w:tc>
          <w:tcPr>
            <w:tcW w:type="dxa" w:w="2266"/>
          </w:tcPr>
          <w:p>
            <w:pPr>
              <w:spacing w:before="40" w:after="40" w:line="288" w:lineRule="auto"/>
            </w:pPr>
            <w:r/>
            <w:r>
              <w:rPr>
                <w:rFonts w:ascii="Microsoft YaHei" w:hAnsi="Microsoft YaHei"/>
                <w:b/>
                <w:color w:val="1A1A1A"/>
                <w:sz w:val="18"/>
              </w:rPr>
              <w:t>4/13</w:t>
            </w:r>
          </w:p>
        </w:tc>
      </w:tr>
      <w:tr>
        <w:tc>
          <w:tcPr>
            <w:tcW w:type="dxa" w:w="2266"/>
            <w:shd w:fill="F8F9FA" w:val="clear"/>
          </w:tcPr>
          <w:p>
            <w:pPr>
              <w:spacing w:before="40" w:after="40" w:line="288" w:lineRule="auto"/>
            </w:pPr>
            <w:r/>
            <w:r>
              <w:rPr>
                <w:rFonts w:ascii="Microsoft YaHei" w:hAnsi="Microsoft YaHei"/>
                <w:sz w:val="18"/>
              </w:rPr>
              <w:t>通讯业务(A股)</w:t>
            </w:r>
          </w:p>
        </w:tc>
        <w:tc>
          <w:tcPr>
            <w:tcW w:type="dxa" w:w="2266"/>
            <w:shd w:fill="F8F9FA" w:val="clear"/>
          </w:tcPr>
          <w:p>
            <w:pPr>
              <w:spacing w:before="40" w:after="40" w:line="288" w:lineRule="auto"/>
            </w:pPr>
            <w:r/>
            <w:r>
              <w:rPr>
                <w:rFonts w:ascii="Microsoft YaHei" w:hAnsi="Microsoft YaHei"/>
                <w:sz w:val="18"/>
              </w:rPr>
              <w:t>-0.68%</w:t>
            </w:r>
          </w:p>
        </w:tc>
        <w:tc>
          <w:tcPr>
            <w:tcW w:type="dxa" w:w="2266"/>
            <w:shd w:fill="F8F9FA" w:val="clear"/>
          </w:tcPr>
          <w:p>
            <w:pPr>
              <w:spacing w:before="40" w:after="40" w:line="288" w:lineRule="auto"/>
            </w:pPr>
            <w:r/>
            <w:r>
              <w:rPr>
                <w:rFonts w:ascii="Microsoft YaHei" w:hAnsi="Microsoft YaHei"/>
                <w:sz w:val="18"/>
              </w:rPr>
              <w:t>348/1158</w:t>
            </w:r>
          </w:p>
        </w:tc>
        <w:tc>
          <w:tcPr>
            <w:tcW w:type="dxa" w:w="2266"/>
            <w:shd w:fill="F8F9FA" w:val="clear"/>
          </w:tcPr>
          <w:p>
            <w:pPr>
              <w:spacing w:before="40" w:after="40" w:line="288" w:lineRule="auto"/>
            </w:pPr>
            <w:r/>
            <w:r>
              <w:rPr>
                <w:rFonts w:ascii="Microsoft YaHei" w:hAnsi="Microsoft YaHei"/>
                <w:b/>
                <w:color w:val="1A1A1A"/>
                <w:sz w:val="18"/>
              </w:rPr>
              <w:t>19/148</w:t>
            </w:r>
          </w:p>
        </w:tc>
      </w:tr>
    </w:tbl>
    <w:p/>
    <w:p>
      <w:r>
        <w:rPr>
          <w:rFonts w:ascii="Microsoft YaHei" w:hAnsi="Microsoft YaHei"/>
          <w:b/>
          <w:color w:val="1A1A1A"/>
        </w:rPr>
        <w:t>核心观察：</w:t>
      </w:r>
      <w:r>
        <w:rPr>
          <w:rFonts w:ascii="Microsoft YaHei" w:hAnsi="Microsoft YaHei"/>
        </w:rPr>
        <w:t xml:space="preserve"> 中国移动所在的电信及通讯业务板块整体表现偏弱（多板块录得负收益），但中国移动自身 </w:t>
      </w:r>
      <w:r>
        <w:rPr>
          <w:rFonts w:ascii="Microsoft YaHei" w:hAnsi="Microsoft YaHei"/>
          <w:b/>
          <w:color w:val="1A1A1A"/>
        </w:rPr>
        <w:t>+2.57%</w:t>
      </w:r>
      <w:r>
        <w:rPr>
          <w:rFonts w:ascii="Microsoft YaHei" w:hAnsi="Microsoft YaHei"/>
        </w:rPr>
        <w:t xml:space="preserve"> 的涨幅在板块内排名靠前。尤其是综合电信业务Ⅳ板块中，中国移动、中国电信（+3.83%）、中国联通（+3.29%）"三大运营商"集体走强，排在该板块前3名，呈现 </w:t>
      </w:r>
      <w:r>
        <w:rPr>
          <w:rFonts w:ascii="Microsoft YaHei" w:hAnsi="Microsoft YaHei"/>
          <w:b/>
          <w:color w:val="1A1A1A"/>
        </w:rPr>
        <w:t>板块龙头共振</w:t>
      </w:r>
      <w:r>
        <w:rPr>
          <w:rFonts w:ascii="Microsoft YaHei" w:hAnsi="Microsoft YaHei"/>
        </w:rPr>
        <w:t xml:space="preserve"> 特征。</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评估</w:t>
            </w:r>
          </w:p>
        </w:tc>
        <w:tc>
          <w:tcPr>
            <w:tcW w:type="dxa" w:w="3022"/>
            <w:shd w:fill="F6F8FA" w:val="clear"/>
          </w:tcPr>
          <w:p>
            <w:pPr>
              <w:spacing w:before="40" w:after="40" w:line="288" w:lineRule="auto"/>
            </w:pPr>
            <w:r/>
            <w:r>
              <w:rPr>
                <w:rFonts w:ascii="Microsoft YaHei" w:hAnsi="Microsoft YaHei"/>
                <w:b/>
                <w:color w:val="1A1A1A"/>
                <w:sz w:val="18"/>
              </w:rPr>
              <w:t>关键信号</w:t>
            </w:r>
          </w:p>
        </w:tc>
      </w:tr>
      <w:tr>
        <w:tc>
          <w:tcPr>
            <w:tcW w:type="dxa" w:w="3022"/>
          </w:tcPr>
          <w:p>
            <w:pPr>
              <w:spacing w:before="40" w:after="40" w:line="288" w:lineRule="auto"/>
            </w:pPr>
            <w:r/>
            <w:r>
              <w:rPr>
                <w:rFonts w:ascii="Microsoft YaHei" w:hAnsi="Microsoft YaHei"/>
                <w:sz w:val="18"/>
              </w:rPr>
              <w:t>资金面</w:t>
            </w:r>
          </w:p>
        </w:tc>
        <w:tc>
          <w:tcPr>
            <w:tcW w:type="dxa" w:w="3022"/>
          </w:tcPr>
          <w:p>
            <w:pPr>
              <w:spacing w:before="40" w:after="40" w:line="288" w:lineRule="auto"/>
            </w:pPr>
            <w:r/>
            <w:r>
              <w:rPr>
                <w:rFonts w:ascii="Microsoft YaHei" w:hAnsi="Microsoft YaHei"/>
                <w:b/>
                <w:color w:val="1A1A1A"/>
                <w:sz w:val="18"/>
              </w:rPr>
              <w:t>⭐⭐⭐⭐☆</w:t>
            </w:r>
            <w:r>
              <w:rPr>
                <w:rFonts w:ascii="Microsoft YaHei" w:hAnsi="Microsoft YaHei"/>
                <w:sz w:val="18"/>
              </w:rPr>
              <w:t xml:space="preserve"> 强势</w:t>
            </w:r>
          </w:p>
        </w:tc>
        <w:tc>
          <w:tcPr>
            <w:tcW w:type="dxa" w:w="3022"/>
          </w:tcPr>
          <w:p>
            <w:pPr>
              <w:spacing w:before="40" w:after="40" w:line="288" w:lineRule="auto"/>
            </w:pPr>
            <w:r/>
            <w:r>
              <w:rPr>
                <w:rFonts w:ascii="Microsoft YaHei" w:hAnsi="Microsoft YaHei"/>
                <w:sz w:val="18"/>
              </w:rPr>
              <w:t>半日净流入3.56亿，大单主导，外盘大</w:t>
            </w:r>
          </w:p>
        </w:tc>
      </w:tr>
      <w:tr>
        <w:tc>
          <w:tcPr>
            <w:tcW w:type="dxa" w:w="3022"/>
            <w:shd w:fill="F8F9FA" w:val="clear"/>
          </w:tcPr>
          <w:p>
            <w:pPr>
              <w:spacing w:before="40" w:after="40" w:line="288" w:lineRule="auto"/>
            </w:pPr>
            <w:r/>
            <w:r>
              <w:rPr>
                <w:rFonts w:ascii="Microsoft YaHei" w:hAnsi="Microsoft YaHei"/>
                <w:sz w:val="18"/>
              </w:rPr>
              <w:t>技术面</w:t>
            </w:r>
          </w:p>
        </w:tc>
        <w:tc>
          <w:tcPr>
            <w:tcW w:type="dxa" w:w="3022"/>
            <w:shd w:fill="F8F9FA" w:val="clear"/>
          </w:tcPr>
          <w:p>
            <w:pPr>
              <w:spacing w:before="40" w:after="40" w:line="288" w:lineRule="auto"/>
            </w:pPr>
            <w:r/>
            <w:r>
              <w:rPr>
                <w:rFonts w:ascii="Microsoft YaHei" w:hAnsi="Microsoft YaHei"/>
                <w:b/>
                <w:color w:val="1A1A1A"/>
                <w:sz w:val="18"/>
              </w:rPr>
              <w:t>⭐⭐⭐⭐☆</w:t>
            </w:r>
            <w:r>
              <w:rPr>
                <w:rFonts w:ascii="Microsoft YaHei" w:hAnsi="Microsoft YaHei"/>
                <w:sz w:val="18"/>
              </w:rPr>
              <w:t xml:space="preserve"> 多头</w:t>
            </w:r>
          </w:p>
        </w:tc>
        <w:tc>
          <w:tcPr>
            <w:tcW w:type="dxa" w:w="3022"/>
            <w:shd w:fill="F8F9FA" w:val="clear"/>
          </w:tcPr>
          <w:p>
            <w:pPr>
              <w:spacing w:before="40" w:after="40" w:line="288" w:lineRule="auto"/>
            </w:pPr>
            <w:r/>
            <w:r>
              <w:rPr>
                <w:rFonts w:ascii="Microsoft YaHei" w:hAnsi="Microsoft YaHei"/>
                <w:sz w:val="18"/>
              </w:rPr>
              <w:t>均线多头排列，距上轨仅1.1%有压力</w:t>
            </w:r>
          </w:p>
        </w:tc>
      </w:tr>
      <w:tr>
        <w:tc>
          <w:tcPr>
            <w:tcW w:type="dxa" w:w="3022"/>
          </w:tcPr>
          <w:p>
            <w:pPr>
              <w:spacing w:before="40" w:after="40" w:line="288" w:lineRule="auto"/>
            </w:pPr>
            <w:r/>
            <w:r>
              <w:rPr>
                <w:rFonts w:ascii="Microsoft YaHei" w:hAnsi="Microsoft YaHei"/>
                <w:sz w:val="18"/>
              </w:rPr>
              <w:t>消息面</w:t>
            </w:r>
          </w:p>
        </w:tc>
        <w:tc>
          <w:tcPr>
            <w:tcW w:type="dxa" w:w="3022"/>
          </w:tcPr>
          <w:p>
            <w:pPr>
              <w:spacing w:before="40" w:after="40" w:line="288" w:lineRule="auto"/>
            </w:pPr>
            <w:r/>
            <w:r>
              <w:rPr>
                <w:rFonts w:ascii="Microsoft YaHei" w:hAnsi="Microsoft YaHei"/>
                <w:b/>
                <w:color w:val="1A1A1A"/>
                <w:sz w:val="18"/>
              </w:rPr>
              <w:t>⭐⭐⭐⭐</w:t>
            </w:r>
            <w:r>
              <w:rPr>
                <w:rFonts w:ascii="Microsoft YaHei" w:hAnsi="Microsoft YaHei"/>
                <w:sz w:val="18"/>
              </w:rPr>
              <w:t xml:space="preserve"> 偏正</w:t>
            </w:r>
          </w:p>
        </w:tc>
        <w:tc>
          <w:tcPr>
            <w:tcW w:type="dxa" w:w="3022"/>
          </w:tcPr>
          <w:p>
            <w:pPr>
              <w:spacing w:before="40" w:after="40" w:line="288" w:lineRule="auto"/>
            </w:pPr>
            <w:r/>
            <w:r>
              <w:rPr>
                <w:rFonts w:ascii="Microsoft YaHei" w:hAnsi="Microsoft YaHei"/>
                <w:sz w:val="18"/>
              </w:rPr>
              <w:t>集采大单+分红逻辑+同业利好对比</w:t>
            </w:r>
          </w:p>
        </w:tc>
      </w:tr>
      <w:tr>
        <w:tc>
          <w:tcPr>
            <w:tcW w:type="dxa" w:w="3022"/>
            <w:shd w:fill="F8F9FA" w:val="clear"/>
          </w:tcPr>
          <w:p>
            <w:pPr>
              <w:spacing w:before="40" w:after="40" w:line="288" w:lineRule="auto"/>
            </w:pPr>
            <w:r/>
            <w:r>
              <w:rPr>
                <w:rFonts w:ascii="Microsoft YaHei" w:hAnsi="Microsoft YaHei"/>
                <w:sz w:val="18"/>
              </w:rPr>
              <w:t>板块联动</w:t>
            </w:r>
          </w:p>
        </w:tc>
        <w:tc>
          <w:tcPr>
            <w:tcW w:type="dxa" w:w="3022"/>
            <w:shd w:fill="F8F9FA" w:val="clear"/>
          </w:tcPr>
          <w:p>
            <w:pPr>
              <w:spacing w:before="40" w:after="40" w:line="288" w:lineRule="auto"/>
            </w:pPr>
            <w:r/>
            <w:r>
              <w:rPr>
                <w:rFonts w:ascii="Microsoft YaHei" w:hAnsi="Microsoft YaHei"/>
                <w:b/>
                <w:color w:val="1A1A1A"/>
                <w:sz w:val="18"/>
              </w:rPr>
              <w:t>⭐⭐⭐⭐</w:t>
            </w:r>
            <w:r>
              <w:rPr>
                <w:rFonts w:ascii="Microsoft YaHei" w:hAnsi="Microsoft YaHei"/>
                <w:sz w:val="18"/>
              </w:rPr>
              <w:t xml:space="preserve"> 龙头共振</w:t>
            </w:r>
          </w:p>
        </w:tc>
        <w:tc>
          <w:tcPr>
            <w:tcW w:type="dxa" w:w="3022"/>
            <w:shd w:fill="F8F9FA" w:val="clear"/>
          </w:tcPr>
          <w:p>
            <w:pPr>
              <w:spacing w:before="40" w:after="40" w:line="288" w:lineRule="auto"/>
            </w:pPr>
            <w:r/>
            <w:r>
              <w:rPr>
                <w:rFonts w:ascii="Microsoft YaHei" w:hAnsi="Microsoft YaHei"/>
                <w:sz w:val="18"/>
              </w:rPr>
              <w:t>三大运营商集体上涨</w:t>
            </w:r>
          </w:p>
        </w:tc>
      </w:tr>
    </w:tbl>
    <w:p/>
    <w:p>
      <w:r>
        <w:rPr>
          <w:rFonts w:ascii="Microsoft YaHei" w:hAnsi="Microsoft YaHei"/>
          <w:b/>
          <w:color w:val="1A1A1A"/>
        </w:rPr>
        <w:t>主力观点：</w:t>
      </w:r>
    </w:p>
    <w:p>
      <w:r>
        <w:rPr>
          <w:rFonts w:ascii="Microsoft YaHei" w:hAnsi="Microsoft YaHei"/>
        </w:rPr>
        <w:t xml:space="preserve">中国移动今日午间呈现 </w:t>
      </w:r>
      <w:r>
        <w:rPr>
          <w:rFonts w:ascii="Microsoft YaHei" w:hAnsi="Microsoft YaHei"/>
          <w:b/>
          <w:color w:val="1A1A1A"/>
        </w:rPr>
        <w:t>放量上攻、资金净流入、技术突破</w:t>
      </w:r>
      <w:r>
        <w:rPr>
          <w:rFonts w:ascii="Microsoft YaHei" w:hAnsi="Microsoft YaHei"/>
        </w:rPr>
        <w:t xml:space="preserve"> 三重共振的强势格局。主要逻辑如下：</w:t>
      </w:r>
    </w:p>
    <w:p>
      <w:pPr>
        <w:pStyle w:val="ListNumber"/>
      </w:pPr>
      <w:r>
        <w:rPr>
          <w:rFonts w:ascii="Microsoft YaHei" w:hAnsi="Microsoft YaHei"/>
          <w:b/>
          <w:color w:val="1A1A1A"/>
        </w:rPr>
        <w:t>红利逻辑持续发酵：</w:t>
      </w:r>
      <w:r>
        <w:rPr>
          <w:rFonts w:ascii="Microsoft YaHei" w:hAnsi="Microsoft YaHei"/>
        </w:rPr>
        <w:t xml:space="preserve"> 沪市分红超万亿+红利ETF资金持续涌入，中移动作为高股息核心资产持续受益；</w:t>
      </w:r>
    </w:p>
    <w:p>
      <w:pPr>
        <w:pStyle w:val="ListNumber"/>
      </w:pPr>
      <w:r>
        <w:rPr>
          <w:rFonts w:ascii="Microsoft YaHei" w:hAnsi="Microsoft YaHei"/>
          <w:b/>
          <w:color w:val="1A1A1A"/>
        </w:rPr>
        <w:t>产业催化明确：</w:t>
      </w:r>
      <w:r>
        <w:rPr>
          <w:rFonts w:ascii="Microsoft YaHei" w:hAnsi="Microsoft YaHei"/>
        </w:rPr>
        <w:t xml:space="preserve"> 177亿元服务器集采大单落地，ARM架构占比创新高，体现公司算力战略加速落地；</w:t>
      </w:r>
    </w:p>
    <w:p>
      <w:pPr>
        <w:pStyle w:val="ListNumber"/>
      </w:pPr>
      <w:r>
        <w:rPr>
          <w:rFonts w:ascii="Microsoft YaHei" w:hAnsi="Microsoft YaHei"/>
          <w:b/>
          <w:color w:val="1A1A1A"/>
        </w:rPr>
        <w:t>资金结构健康：</w:t>
      </w:r>
      <w:r>
        <w:rPr>
          <w:rFonts w:ascii="Microsoft YaHei" w:hAnsi="Microsoft YaHei"/>
        </w:rPr>
        <w:t xml:space="preserve"> 大单+中单连续净流入，散户小幅流出，筹码向机构集中；</w:t>
      </w:r>
    </w:p>
    <w:p>
      <w:pPr>
        <w:pStyle w:val="ListNumber"/>
      </w:pPr>
      <w:r>
        <w:rPr>
          <w:rFonts w:ascii="Microsoft YaHei" w:hAnsi="Microsoft YaHei"/>
          <w:b/>
          <w:color w:val="1A1A1A"/>
        </w:rPr>
        <w:t>技术形态突破：</w:t>
      </w:r>
      <w:r>
        <w:rPr>
          <w:rFonts w:ascii="Microsoft YaHei" w:hAnsi="Microsoft YaHei"/>
        </w:rPr>
        <w:t xml:space="preserve"> 股价创60日新高，均线多头排列，距布林上轨仅一步之遥。</w:t>
      </w:r>
    </w:p>
    <w:p>
      <w:r>
        <w:rPr>
          <w:rFonts w:ascii="Microsoft YaHei" w:hAnsi="Microsoft YaHei"/>
          <w:b/>
          <w:color w:val="1A1A1A"/>
        </w:rPr>
        <w:t>午后关注焦点：</w:t>
      </w:r>
    </w:p>
    <w:p>
      <w:pPr>
        <w:pStyle w:val="ListBullet"/>
      </w:pPr>
      <w:r>
        <w:rPr>
          <w:rFonts w:ascii="Microsoft YaHei" w:hAnsi="Microsoft YaHei"/>
        </w:rPr>
        <w:t xml:space="preserve">能否突破布林带上轨 </w:t>
      </w:r>
      <w:r>
        <w:rPr>
          <w:rFonts w:ascii="Microsoft YaHei" w:hAnsi="Microsoft YaHei"/>
          <w:b/>
          <w:color w:val="1A1A1A"/>
        </w:rPr>
        <w:t>96.82元</w:t>
      </w:r>
      <w:r>
        <w:rPr>
          <w:rFonts w:ascii="Microsoft YaHei" w:hAnsi="Microsoft YaHei"/>
        </w:rPr>
        <w:t>，打开上行空间；</w:t>
      </w:r>
    </w:p>
    <w:p>
      <w:pPr>
        <w:pStyle w:val="ListBullet"/>
      </w:pPr>
      <w:r>
        <w:rPr>
          <w:rFonts w:ascii="Microsoft YaHei" w:hAnsi="Microsoft YaHei"/>
        </w:rPr>
        <w:t>若遇阻回落，MA5（94.72元）为第一支撑位；</w:t>
      </w:r>
    </w:p>
    <w:p>
      <w:pPr>
        <w:pStyle w:val="ListBullet"/>
      </w:pPr>
      <w:r>
        <w:rPr>
          <w:rFonts w:ascii="Microsoft YaHei" w:hAnsi="Microsoft YaHei"/>
        </w:rPr>
        <w:t>量比能否持续维持在1.5以上，保持交易活跃度。</w:t>
      </w:r>
    </w:p>
    <w:p>
      <w:r>
        <w:rPr>
          <w:rFonts w:ascii="Microsoft YaHei" w:hAnsi="Microsoft YaHei"/>
        </w:rPr>
        <w:t xml:space="preserve">&gt; </w:t>
      </w:r>
      <w:r>
        <w:rPr>
          <w:rFonts w:ascii="Microsoft YaHei" w:hAnsi="Microsoft YaHei"/>
          <w:b/>
          <w:color w:val="1A1A1A"/>
        </w:rPr>
        <w:t>风险提示：</w:t>
      </w:r>
      <w:r>
        <w:rPr>
          <w:rFonts w:ascii="Microsoft YaHei" w:hAnsi="Microsoft YaHei"/>
        </w:rPr>
        <w:t xml:space="preserve"> 本文分析基于公开数据和新闻资讯，不构成投资建议。股市有风险，投资需谨慎。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中国移动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