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正文获取超时，我将基于标题摘要和已有的盘中数据进行综合分析。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中国船舶（600150.SH）午间分析报告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今日全市场情绪偏中性。市场热度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（一般），成交额约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，下跌家数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45只</w:t>
      </w:r>
      <w:r>
        <w:rPr>
          <w:rFonts w:ascii="Microsoft YaHei" w:hAnsi="Microsoft YaHei"/>
        </w:rPr>
        <w:t xml:space="preserve">（晋级率13%）、二板 </w:t>
      </w:r>
      <w:r>
        <w:rPr>
          <w:rFonts w:ascii="Microsoft YaHei" w:hAnsi="Microsoft YaHei"/>
          <w:b/>
          <w:color w:val="1A1A1A"/>
        </w:rPr>
        <w:t>13只</w:t>
      </w:r>
      <w:r>
        <w:rPr>
          <w:rFonts w:ascii="Microsoft YaHei" w:hAnsi="Microsoft YaHei"/>
        </w:rPr>
        <w:t xml:space="preserve">（晋级率33%）、三板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（晋级率40%），高位连板动能偏弱，市场仍以结构性行情为主。</w:t>
      </w:r>
    </w:p>
    <w:p>
      <w:r>
        <w:rPr>
          <w:rFonts w:ascii="Microsoft YaHei" w:hAnsi="Microsoft YaHei"/>
        </w:rPr>
        <w:t xml:space="preserve">中国船舶（600150.SH）今日表现显著强于大盘，午盘收涨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>，在缩量市场中走出独立行情。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31.98元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32.28元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33.16元 / 32.10元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998,988手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32.74亿元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1.33%</w:t>
            </w:r>
            <w:r>
              <w:rPr>
                <w:rFonts w:ascii="Microsoft YaHei" w:hAnsi="Microsoft YaHei"/>
                <w:sz w:val="18"/>
              </w:rPr>
              <w:t>（较上一交易日0.83%显著放大）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0.73</w:t>
            </w:r>
            <w:r>
              <w:rPr>
                <w:rFonts w:ascii="Microsoft YaHei" w:hAnsi="Microsoft YaHei"/>
                <w:sz w:val="18"/>
              </w:rPr>
              <w:t>（缩量上涨）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12.85倍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1.69倍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2,484.21亿元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</w:rPr>
        <w:t xml:space="preserve">今日股票标记为 </w:t>
      </w:r>
      <w:r>
        <w:rPr>
          <w:rFonts w:ascii="Microsoft YaHei" w:hAnsi="Microsoft YaHei"/>
          <w:b/>
          <w:color w:val="1A1A1A"/>
        </w:rPr>
        <w:t>"XD中国船"</w:t>
      </w:r>
      <w:r>
        <w:rPr>
          <w:rFonts w:ascii="Microsoft YaHei" w:hAnsi="Microsoft YaHei"/>
        </w:rPr>
        <w:t xml:space="preserve">，表明公司正处于除权除息日。昨日收盘价31.98元为除权参考价，今日低开高走收涨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>，说明市场对除权后的估值认可度较高。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 55.64万手</w:t>
      </w:r>
      <w:r>
        <w:rPr>
          <w:rFonts w:ascii="Microsoft YaHei" w:hAnsi="Microsoft YaHei"/>
        </w:rPr>
        <w:t xml:space="preserve"> 显著大于 </w:t>
      </w:r>
      <w:r>
        <w:rPr>
          <w:rFonts w:ascii="Microsoft YaHei" w:hAnsi="Microsoft YaHei"/>
          <w:b/>
          <w:color w:val="1A1A1A"/>
        </w:rPr>
        <w:t>内盘 44.25万手</w:t>
      </w:r>
      <w:r>
        <w:rPr>
          <w:rFonts w:ascii="Microsoft YaHei" w:hAnsi="Microsoft YaHei"/>
        </w:rPr>
        <w:t>（外盘/内盘≈1.26），主动买盘明显强于卖盘。</w:t>
      </w:r>
    </w:p>
    <w:p>
      <w:pPr>
        <w:pStyle w:val="ListBullet"/>
      </w:pPr>
      <w:r>
        <w:rPr>
          <w:rFonts w:ascii="Microsoft YaHei" w:hAnsi="Microsoft YaHei"/>
        </w:rPr>
        <w:t xml:space="preserve">盘中于 </w:t>
      </w:r>
      <w:r>
        <w:rPr>
          <w:rFonts w:ascii="Microsoft YaHei" w:hAnsi="Microsoft YaHei"/>
          <w:b/>
          <w:color w:val="1A1A1A"/>
        </w:rPr>
        <w:t>10:27:34</w:t>
      </w:r>
      <w:r>
        <w:rPr>
          <w:rFonts w:ascii="Microsoft YaHei" w:hAnsi="Microsoft YaHei"/>
        </w:rPr>
        <w:t xml:space="preserve"> 出现一次大买盘扫单（价格33.03元），显示有机构资金主动性介入。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今日上午逐分钟资金流向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3.30亿元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103分钟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3,910.3万元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7,304.5万元</w:t>
            </w:r>
          </w:p>
        </w:tc>
      </w:tr>
    </w:tbl>
    <w:p/>
    <w:p>
      <w:r>
        <w:rPr>
          <w:rFonts w:ascii="Microsoft YaHei" w:hAnsi="Microsoft YaHei"/>
        </w:rPr>
        <w:t xml:space="preserve">尽管股价大涨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 xml:space="preserve">，但上午资金呈 </w:t>
      </w:r>
      <w:r>
        <w:rPr>
          <w:rFonts w:ascii="Microsoft YaHei" w:hAnsi="Microsoft YaHei"/>
          <w:b/>
          <w:color w:val="1A1A1A"/>
        </w:rPr>
        <w:t>净流出 3.30亿</w:t>
      </w:r>
      <w:r>
        <w:rPr>
          <w:rFonts w:ascii="Microsoft YaHei" w:hAnsi="Microsoft YaHei"/>
        </w:rPr>
        <w:t xml:space="preserve"> 状态，且流出力度大于流入力度（最大单分钟流出为流入的 </w:t>
      </w:r>
      <w:r>
        <w:rPr>
          <w:rFonts w:ascii="Microsoft YaHei" w:hAnsi="Microsoft YaHei"/>
          <w:b/>
          <w:color w:val="1A1A1A"/>
        </w:rPr>
        <w:t>1.87倍</w:t>
      </w:r>
      <w:r>
        <w:rPr>
          <w:rFonts w:ascii="Microsoft YaHei" w:hAnsi="Microsoft YaHei"/>
        </w:rPr>
        <w:t xml:space="preserve">）。这形成典型的 </w:t>
      </w:r>
      <w:r>
        <w:rPr>
          <w:rFonts w:ascii="Microsoft YaHei" w:hAnsi="Microsoft YaHei"/>
          <w:b/>
          <w:color w:val="1A1A1A"/>
        </w:rPr>
        <w:t>"价量背离"</w:t>
      </w:r>
      <w:r>
        <w:rPr>
          <w:rFonts w:ascii="Microsoft YaHei" w:hAnsi="Microsoft YaHei"/>
        </w:rPr>
        <w:t xml:space="preserve"> 信号——股价上涨但资金净流出，需警惕午后抛压。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-1.29亿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-1.34亿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-0.68亿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-3.30亿</w:t>
            </w:r>
          </w:p>
        </w:tc>
      </w:tr>
    </w:tbl>
    <w:p/>
    <w:p>
      <w:r>
        <w:rPr>
          <w:rFonts w:ascii="Microsoft YaHei" w:hAnsi="Microsoft YaHei"/>
        </w:rPr>
        <w:t>三个维度均呈净流出，上日主力整体偏空。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70.40亿元</w:t>
            </w:r>
            <w:r>
              <w:rPr>
                <w:rFonts w:ascii="Microsoft YaHei" w:hAnsi="Microsoft YaHei"/>
                <w:sz w:val="18"/>
              </w:rPr>
              <w:t>（较前日 -0.58%）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0.14亿元</w:t>
            </w:r>
            <w:r>
              <w:rPr>
                <w:rFonts w:ascii="Microsoft YaHei" w:hAnsi="Microsoft YaHei"/>
                <w:sz w:val="18"/>
              </w:rPr>
              <w:t>（较前日 -9.28%）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融资余额占比流通市值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3.46%</w:t>
            </w:r>
            <w:r>
              <w:rPr>
                <w:rFonts w:ascii="Microsoft YaHei" w:hAnsi="Microsoft YaHei"/>
                <w:sz w:val="18"/>
              </w:rPr>
              <w:t>（超过近一年80%分位水平）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昨日融资买入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1.77亿元</w:t>
            </w:r>
          </w:p>
        </w:tc>
      </w:tr>
    </w:tbl>
    <w:p/>
    <w:p>
      <w:r>
        <w:rPr>
          <w:rFonts w:ascii="Microsoft YaHei" w:hAnsi="Microsoft YaHei"/>
        </w:rPr>
        <w:t xml:space="preserve">融资余额处于近一年高位区间（超80%分位），说明市场对该股的杠杆资金关注度较高。不过昨日融资余额微降 </w:t>
      </w:r>
      <w:r>
        <w:rPr>
          <w:rFonts w:ascii="Microsoft YaHei" w:hAnsi="Microsoft YaHei"/>
          <w:b/>
          <w:color w:val="1A1A1A"/>
        </w:rPr>
        <w:t>0.58%</w:t>
      </w:r>
      <w:r>
        <w:rPr>
          <w:rFonts w:ascii="Microsoft YaHei" w:hAnsi="Microsoft YaHei"/>
        </w:rPr>
        <w:t xml:space="preserve">，融券余额大幅下降 </w:t>
      </w:r>
      <w:r>
        <w:rPr>
          <w:rFonts w:ascii="Microsoft YaHei" w:hAnsi="Microsoft YaHei"/>
          <w:b/>
          <w:color w:val="1A1A1A"/>
        </w:rPr>
        <w:t>9.28%</w:t>
      </w:r>
      <w:r>
        <w:rPr>
          <w:rFonts w:ascii="Microsoft YaHei" w:hAnsi="Microsoft YaHei"/>
        </w:rPr>
        <w:t>，空头有所收敛。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37.40元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31.24元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距下轨偏离度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距上轨偏离度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-11.74%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33.01元</w:t>
      </w:r>
      <w:r>
        <w:rPr>
          <w:rFonts w:ascii="Microsoft YaHei" w:hAnsi="Microsoft YaHei"/>
        </w:rPr>
        <w:t xml:space="preserve"> 处于布林带中轨偏下区域（中轨约34.32元），距下轨仅 </w:t>
      </w:r>
      <w:r>
        <w:rPr>
          <w:rFonts w:ascii="Microsoft YaHei" w:hAnsi="Microsoft YaHei"/>
          <w:b/>
          <w:color w:val="1A1A1A"/>
        </w:rPr>
        <w:t>5.67%</w:t>
      </w:r>
      <w:r>
        <w:rPr>
          <w:rFonts w:ascii="Microsoft YaHei" w:hAnsi="Microsoft YaHei"/>
        </w:rPr>
        <w:t xml:space="preserve">，距上轨 </w:t>
      </w:r>
      <w:r>
        <w:rPr>
          <w:rFonts w:ascii="Microsoft YaHei" w:hAnsi="Microsoft YaHei"/>
          <w:b/>
          <w:color w:val="1A1A1A"/>
        </w:rPr>
        <w:t>11.74%</w:t>
      </w:r>
      <w:r>
        <w:rPr>
          <w:rFonts w:ascii="Microsoft YaHei" w:hAnsi="Microsoft YaHei"/>
        </w:rPr>
        <w:t>，整体处于偏低位运行状态。</w:t>
      </w:r>
    </w:p>
    <w:p>
      <w:pPr>
        <w:pStyle w:val="ListBullet"/>
      </w:pPr>
      <w:r>
        <w:rPr>
          <w:rFonts w:ascii="Microsoft YaHei" w:hAnsi="Microsoft YaHei"/>
        </w:rPr>
        <w:t xml:space="preserve">今日低开于 </w:t>
      </w:r>
      <w:r>
        <w:rPr>
          <w:rFonts w:ascii="Microsoft YaHei" w:hAnsi="Microsoft YaHei"/>
          <w:b/>
          <w:color w:val="1A1A1A"/>
        </w:rPr>
        <w:t>32.28元</w:t>
      </w:r>
      <w:r>
        <w:rPr>
          <w:rFonts w:ascii="Microsoft YaHei" w:hAnsi="Microsoft YaHei"/>
        </w:rPr>
        <w:t xml:space="preserve">（高于昨收31.98元），最低 </w:t>
      </w:r>
      <w:r>
        <w:rPr>
          <w:rFonts w:ascii="Microsoft YaHei" w:hAnsi="Microsoft YaHei"/>
          <w:b/>
          <w:color w:val="1A1A1A"/>
        </w:rPr>
        <w:t>32.10元</w:t>
      </w:r>
      <w:r>
        <w:rPr>
          <w:rFonts w:ascii="Microsoft YaHei" w:hAnsi="Microsoft YaHei"/>
        </w:rPr>
        <w:t xml:space="preserve"> 未破布林带下轨31.24元，显示下轨支撑有效。</w:t>
      </w:r>
    </w:p>
    <w:p>
      <w:pPr>
        <w:pStyle w:val="ListBullet"/>
      </w:pPr>
      <w:r>
        <w:rPr>
          <w:rFonts w:ascii="Microsoft YaHei" w:hAnsi="Microsoft YaHei"/>
        </w:rPr>
        <w:t>股价自下轨区域反弹，收出中阳线，短期有企稳迹象。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0.73</w:t>
      </w:r>
      <w:r>
        <w:rPr>
          <w:rFonts w:ascii="Microsoft YaHei" w:hAnsi="Microsoft YaHei"/>
        </w:rPr>
        <w:t xml:space="preserve"> 显示缩量上涨，若午后能补量，则反弹持续性更佳；若持续缩量，则需注意 </w:t>
      </w:r>
      <w:r>
        <w:rPr>
          <w:rFonts w:ascii="Microsoft YaHei" w:hAnsi="Microsoft YaHei"/>
          <w:b/>
          <w:color w:val="1A1A1A"/>
        </w:rPr>
        <w:t>33.5~34元</w:t>
      </w:r>
      <w:r>
        <w:rPr>
          <w:rFonts w:ascii="Microsoft YaHei" w:hAnsi="Microsoft YaHei"/>
        </w:rPr>
        <w:t xml:space="preserve"> 一线（靠近布林中轨）的阻力。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文章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要点分析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公司未对控股股东及关联人提供担保</w:t>
            </w:r>
            <w:r>
              <w:rPr>
                <w:rFonts w:ascii="Microsoft YaHei" w:hAnsi="Microsoft YaHei"/>
                <w:sz w:val="18"/>
              </w:rPr>
              <w:t>（a_01）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属合规性澄清公告，表明公司治理规范，无明显风险隐患，属中性偏利好。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近5日主力净流入-2.15亿</w:t>
            </w:r>
            <w:r>
              <w:rPr>
                <w:rFonts w:ascii="Microsoft YaHei" w:hAnsi="Microsoft YaHei"/>
                <w:sz w:val="18"/>
              </w:rPr>
              <w:t>（a_02）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昨日跌0.12%，成交额28.34亿。短期主力资金持续流出，与今日上午净流出3.30亿形成印证。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从"有"到"好" 中国船舶持续领航全球</w:t>
            </w:r>
            <w:r>
              <w:rPr>
                <w:rFonts w:ascii="Microsoft YaHei" w:hAnsi="Microsoft YaHei"/>
                <w:sz w:val="18"/>
              </w:rPr>
              <w:t>（a_04）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正面行业报道，强调公司在全球造船业的领先地位，对市场情绪有提振作用。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融资余额70.40亿，占流通市值3.46%</w:t>
            </w:r>
            <w:r>
              <w:rPr>
                <w:rFonts w:ascii="Microsoft YaHei" w:hAnsi="Microsoft YaHei"/>
                <w:sz w:val="18"/>
              </w:rPr>
              <w:t>（a_05）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超过近一年80%分位，融资盘高度集中。昨日融资买入1.77亿，杠杆资金仍维持较高活跃度。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综合消息面判断：</w:t>
      </w:r>
      <w:r>
        <w:rPr>
          <w:rFonts w:ascii="Microsoft YaHei" w:hAnsi="Microsoft YaHei"/>
        </w:rPr>
        <w:t xml:space="preserve"> 近期无明显利空公告，融资盘维持高位，正面行业报道对股价形成支撑。今日上涨更多反映市场对除权后估值修复的认可。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中国船舶所属板块关联关键词涵盖 </w:t>
      </w:r>
      <w:r>
        <w:rPr>
          <w:rFonts w:ascii="Microsoft YaHei" w:hAnsi="Microsoft YaHei"/>
          <w:b/>
          <w:color w:val="1A1A1A"/>
        </w:rPr>
        <w:t>军工、船舶制造、航海装备、国防工业、工业制造</w:t>
      </w:r>
      <w:r>
        <w:rPr>
          <w:rFonts w:ascii="Microsoft YaHei" w:hAnsi="Microsoft YaHei"/>
        </w:rPr>
        <w:t xml:space="preserve"> 等。今日盘中虽未给出板块整体表现数据，但该股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 xml:space="preserve"> 的涨幅显著跑赢大盘（上证早盘表现中性），具备一定的板块龙头溢价特征。作为沪深300权重股，其对军工/船舶板块的带动效应值得关注。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利多因素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除权后放量上攻，外盘大于内盘，买盘主动&lt;br&gt;✅ 布林带下轨支撑有效，短期企稳反弹&lt;br&gt;✅ 动态PE仅12.85倍，估值具备安全边际&lt;br&gt;✅ 融资余额高位，杠杆资金看好情绪浓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利空因素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上午资金净流出3.30亿，价量背离&lt;br&gt;⚠️ 近5日主力资金持续净流出&lt;br&gt;⚠️ 量比0.73，缩量上涨持续性存疑&lt;br&gt;⚠️ 换手率1.33%不算高，大资金尚未大举进场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关键观察位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上方阻力：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33.5~34元</w:t>
            </w:r>
            <w:r>
              <w:rPr>
                <w:rFonts w:ascii="Microsoft YaHei" w:hAnsi="Microsoft YaHei"/>
                <w:sz w:val="18"/>
              </w:rPr>
              <w:t>（布林中轨附近）&lt;br&gt;下方支撑：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32.1元</w:t>
            </w:r>
            <w:r>
              <w:rPr>
                <w:rFonts w:ascii="Microsoft YaHei" w:hAnsi="Microsoft YaHei"/>
                <w:sz w:val="18"/>
              </w:rPr>
              <w:t>（今日低点）/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31.24元</w:t>
            </w:r>
            <w:r>
              <w:rPr>
                <w:rFonts w:ascii="Microsoft YaHei" w:hAnsi="Microsoft YaHei"/>
                <w:sz w:val="18"/>
              </w:rPr>
              <w:t>（布林下轨）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午间核心判断：</w:t>
      </w:r>
    </w:p>
    <w:p>
      <w:r>
        <w:rPr>
          <w:rFonts w:ascii="Microsoft YaHei" w:hAnsi="Microsoft YaHei"/>
        </w:rPr>
        <w:t xml:space="preserve">中国船舶今日走出独立行情，在除权日大涨 </w:t>
      </w:r>
      <w:r>
        <w:rPr>
          <w:rFonts w:ascii="Microsoft YaHei" w:hAnsi="Microsoft YaHei"/>
          <w:b/>
          <w:color w:val="1A1A1A"/>
        </w:rPr>
        <w:t>+3.22%</w:t>
      </w:r>
      <w:r>
        <w:rPr>
          <w:rFonts w:ascii="Microsoft YaHei" w:hAnsi="Microsoft YaHei"/>
        </w:rPr>
        <w:t xml:space="preserve">，体现了市场对其基本面的信心和低估值的吸引力。但上午 </w:t>
      </w:r>
      <w:r>
        <w:rPr>
          <w:rFonts w:ascii="Microsoft YaHei" w:hAnsi="Microsoft YaHei"/>
          <w:b/>
          <w:color w:val="1A1A1A"/>
        </w:rPr>
        <w:t>净流出3.30亿元</w:t>
      </w:r>
      <w:r>
        <w:rPr>
          <w:rFonts w:ascii="Microsoft YaHei" w:hAnsi="Microsoft YaHei"/>
        </w:rPr>
        <w:t xml:space="preserve"> 的价量背离信号值得警惕——若午后资金面无法改善（由净流出转为净流入或缩减流出规模），需防范冲高回落风险。建议重点关注午后 </w:t>
      </w:r>
      <w:r>
        <w:rPr>
          <w:rFonts w:ascii="Microsoft YaHei" w:hAnsi="Microsoft YaHei"/>
          <w:b/>
          <w:color w:val="1A1A1A"/>
        </w:rPr>
        <w:t>33.5元</w:t>
      </w:r>
      <w:r>
        <w:rPr>
          <w:rFonts w:ascii="Microsoft YaHei" w:hAnsi="Microsoft YaHei"/>
        </w:rPr>
        <w:t xml:space="preserve"> 一线能否放量突破，以及资金流向是否逆转。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以上分析基于公开数据和资讯，不构成投资建议。股市有风险，投资需谨慎。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中国船舶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