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中航沈飞（600760.SH）午间分析报告</w:t>
      </w:r>
    </w:p>
    <w:p>
      <w:r>
        <w:rPr>
          <w:rFonts w:ascii="Microsoft YaHei" w:hAnsi="Microsoft YaHei"/>
          <w:b/>
          <w:color w:val="1A1A1A"/>
        </w:rPr>
        <w:t>数据截止：2026年7月28日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今日全市场情绪一般（热度指数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）。上涨占比 75%，赚钱效应 48%。上证50指数领涨（+3.11%），市场呈现典型的大盘蓝筹风格，中航沈飞作为上证50成分股，在指数带动下录得显著涨幅。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41.99元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40.21元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+4.43%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 4.4%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12.21亿元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半日已超昨日全天（7.01亿）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昨日仅0.58%，放量明显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显著高于基准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180.4倍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PB: 5.17倍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1,190.39亿元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量价特征：</w:t>
      </w:r>
      <w:r>
        <w:rPr>
          <w:rFonts w:ascii="Microsoft YaHei" w:hAnsi="Microsoft YaHei"/>
        </w:rPr>
        <w:t xml:space="preserve"> 今日半日成交额 </w:t>
      </w:r>
      <w:r>
        <w:rPr>
          <w:rFonts w:ascii="Microsoft YaHei" w:hAnsi="Microsoft YaHei"/>
          <w:b/>
          <w:color w:val="1A1A1A"/>
        </w:rPr>
        <w:t>12.21亿</w:t>
      </w:r>
      <w:r>
        <w:rPr>
          <w:rFonts w:ascii="Microsoft YaHei" w:hAnsi="Microsoft YaHei"/>
        </w:rPr>
        <w:t xml:space="preserve">，已远超昨日全日 </w:t>
      </w:r>
      <w:r>
        <w:rPr>
          <w:rFonts w:ascii="Microsoft YaHei" w:hAnsi="Microsoft YaHei"/>
          <w:b/>
          <w:color w:val="1A1A1A"/>
        </w:rPr>
        <w:t>7.01亿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1.78</w:t>
      </w:r>
      <w:r>
        <w:rPr>
          <w:rFonts w:ascii="Microsoft YaHei" w:hAnsi="Microsoft YaHei"/>
        </w:rPr>
        <w:t xml:space="preserve">；换手率 </w:t>
      </w:r>
      <w:r>
        <w:rPr>
          <w:rFonts w:ascii="Microsoft YaHei" w:hAnsi="Microsoft YaHei"/>
          <w:b/>
          <w:color w:val="1A1A1A"/>
        </w:rPr>
        <w:t>1.03%</w:t>
      </w:r>
      <w:r>
        <w:rPr>
          <w:rFonts w:ascii="Microsoft YaHei" w:hAnsi="Microsoft YaHei"/>
        </w:rPr>
        <w:t xml:space="preserve"> 是昨日全日换手率的 </w:t>
      </w:r>
      <w:r>
        <w:rPr>
          <w:rFonts w:ascii="Microsoft YaHei" w:hAnsi="Microsoft YaHei"/>
          <w:b/>
          <w:color w:val="1A1A1A"/>
        </w:rPr>
        <w:t>2.16倍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 xml:space="preserve">。外盘 </w:t>
      </w:r>
      <w:r>
        <w:rPr>
          <w:rFonts w:ascii="Microsoft YaHei" w:hAnsi="Microsoft YaHei"/>
          <w:b/>
          <w:color w:val="1A1A1A"/>
        </w:rPr>
        <w:t>167,816手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124,459手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57.4%</w:t>
      </w:r>
      <w:r>
        <w:rPr>
          <w:rFonts w:ascii="Microsoft YaHei" w:hAnsi="Microsoft YaHei"/>
        </w:rPr>
        <w:t>，主动买盘占优，资金入场意愿强烈。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5,217.89万元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资金分布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流入132分钟 / 流出106分钟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1,245.6万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2,007.9万</w:t>
            </w:r>
          </w:p>
        </w:tc>
      </w:tr>
    </w:tbl>
    <w:p/>
    <w:p>
      <w:r>
        <w:rPr>
          <w:rFonts w:ascii="Microsoft YaHei" w:hAnsi="Microsoft YaHei"/>
        </w:rPr>
        <w:t xml:space="preserve">今日半日净流入 </w:t>
      </w:r>
      <w:r>
        <w:rPr>
          <w:rFonts w:ascii="Microsoft YaHei" w:hAnsi="Microsoft YaHei"/>
          <w:b/>
          <w:color w:val="1A1A1A"/>
        </w:rPr>
        <w:t>5,217万元</w:t>
      </w:r>
      <w:r>
        <w:rPr>
          <w:rFonts w:ascii="Microsoft YaHei" w:hAnsi="Microsoft YaHei"/>
        </w:rPr>
        <w:t xml:space="preserve">，在上个交易日中，大单净流入 </w:t>
      </w:r>
      <w:r>
        <w:rPr>
          <w:rFonts w:ascii="Microsoft YaHei" w:hAnsi="Microsoft YaHei"/>
          <w:b/>
          <w:color w:val="1A1A1A"/>
        </w:rPr>
        <w:t>+869万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+3,701万</w:t>
      </w:r>
      <w:r>
        <w:rPr>
          <w:rFonts w:ascii="Microsoft YaHei" w:hAnsi="Microsoft YaHei"/>
        </w:rPr>
        <w:t xml:space="preserve">，小单净流入 </w:t>
      </w:r>
      <w:r>
        <w:rPr>
          <w:rFonts w:ascii="Microsoft YaHei" w:hAnsi="Microsoft YaHei"/>
          <w:b/>
          <w:color w:val="1A1A1A"/>
        </w:rPr>
        <w:t>+647万</w:t>
      </w:r>
      <w:r>
        <w:rPr>
          <w:rFonts w:ascii="Microsoft YaHei" w:hAnsi="Microsoft YaHei"/>
        </w:rPr>
        <w:t>，资金呈现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>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融资融券（截至7月27日）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18.16亿</w:t>
            </w:r>
            <w:r>
              <w:rPr>
                <w:rFonts w:ascii="Microsoft YaHei" w:hAnsi="Microsoft YaHei"/>
                <w:sz w:val="18"/>
              </w:rPr>
              <w:t>（前日-0.50%）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低于近一年20%分位，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处于低位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0.08亿</w:t>
            </w:r>
            <w:r>
              <w:rPr>
                <w:rFonts w:ascii="Microsoft YaHei" w:hAnsi="Microsoft YaHei"/>
                <w:sz w:val="18"/>
              </w:rPr>
              <w:t>（前日-2.55%）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高于近一年70%分位，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处于高位</w:t>
            </w:r>
          </w:p>
        </w:tc>
      </w:tr>
    </w:tbl>
    <w:p/>
    <w:p>
      <w:r>
        <w:rPr>
          <w:rFonts w:ascii="Microsoft YaHei" w:hAnsi="Microsoft YaHei"/>
        </w:rPr>
        <w:t>融资余额持续下降，显示杠杆资金参与热情低迷；而融券余额偏高，反映做空压力仍存。但从今日盘面表现看，多空力量对比正在发生变化。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MA5（约42.94元）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MA10（约41.20元）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MA20/布林中轨（约40.86元）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布林带上轨（43.76元）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尚有空间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布林带下轨（37.96元）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安全距离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  <w:r>
        <w:rPr>
          <w:rFonts w:ascii="Microsoft YaHei" w:hAnsi="Microsoft YaHei"/>
        </w:rPr>
        <w:t xml:space="preserve"> 当前股价 </w:t>
      </w:r>
      <w:r>
        <w:rPr>
          <w:rFonts w:ascii="Microsoft YaHei" w:hAnsi="Microsoft YaHei"/>
          <w:b/>
          <w:color w:val="1A1A1A"/>
        </w:rPr>
        <w:t>41.99元</w:t>
      </w:r>
      <w:r>
        <w:rPr>
          <w:rFonts w:ascii="Microsoft YaHei" w:hAnsi="Microsoft YaHei"/>
        </w:rPr>
        <w:t xml:space="preserve">，已站上MA10和MA20（中轨），短线反攻态势确立；但与MA5（42.94元）仍有约 </w:t>
      </w:r>
      <w:r>
        <w:rPr>
          <w:rFonts w:ascii="Microsoft YaHei" w:hAnsi="Microsoft YaHei"/>
          <w:b/>
          <w:color w:val="1A1A1A"/>
        </w:rPr>
        <w:t>2.2%</w:t>
      </w:r>
      <w:r>
        <w:rPr>
          <w:rFonts w:ascii="Microsoft YaHei" w:hAnsi="Microsoft YaHei"/>
        </w:rPr>
        <w:t xml:space="preserve"> 的差距，午后若持续放量有望挑战该位置。布林带中轨（40.86元）构成下方有效支撑，上轨 </w:t>
      </w:r>
      <w:r>
        <w:rPr>
          <w:rFonts w:ascii="Microsoft YaHei" w:hAnsi="Microsoft YaHei"/>
          <w:b/>
          <w:color w:val="1A1A1A"/>
        </w:rPr>
        <w:t>43.76元</w:t>
      </w:r>
      <w:r>
        <w:rPr>
          <w:rFonts w:ascii="Microsoft YaHei" w:hAnsi="Microsoft YaHei"/>
        </w:rPr>
        <w:t xml:space="preserve"> 为短期阻力区。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2026年上半年业绩承压，管理层增持彰显信心</w:t>
      </w:r>
    </w:p>
    <w:p>
      <w:r>
        <w:rPr>
          <w:rFonts w:ascii="Microsoft YaHei" w:hAnsi="Microsoft YaHei"/>
        </w:rPr>
        <w:t xml:space="preserve">公司预计2026年上半年归母净利润 </w:t>
      </w:r>
      <w:r>
        <w:rPr>
          <w:rFonts w:ascii="Microsoft YaHei" w:hAnsi="Microsoft YaHei"/>
          <w:b/>
          <w:color w:val="1A1A1A"/>
        </w:rPr>
        <w:t>4.75亿元（同比-58.2%）</w:t>
      </w:r>
      <w:r>
        <w:rPr>
          <w:rFonts w:ascii="Microsoft YaHei" w:hAnsi="Microsoft YaHei"/>
        </w:rPr>
        <w:t xml:space="preserve">，扣非归母净利润 </w:t>
      </w:r>
      <w:r>
        <w:rPr>
          <w:rFonts w:ascii="Microsoft YaHei" w:hAnsi="Microsoft YaHei"/>
          <w:b/>
          <w:color w:val="1A1A1A"/>
        </w:rPr>
        <w:t>4.04亿元（同比-62.4%）</w:t>
      </w:r>
      <w:r>
        <w:rPr>
          <w:rFonts w:ascii="Microsoft YaHei" w:hAnsi="Microsoft YaHei"/>
        </w:rPr>
        <w:t>。下滑主因：新型装备生产组织、产能提升处于优化阶段，部分配套产品交付节奏影响。</w:t>
      </w:r>
      <w:r>
        <w:rPr>
          <w:rFonts w:ascii="Microsoft YaHei" w:hAnsi="Microsoft YaHei"/>
          <w:b/>
          <w:color w:val="1A1A1A"/>
        </w:rPr>
        <w:t>下半年预计好转</w:t>
      </w:r>
      <w:r>
        <w:rPr>
          <w:rFonts w:ascii="Microsoft YaHei" w:hAnsi="Microsoft YaHei"/>
        </w:rPr>
        <w:t>，公司将全力推动全年科研生产任务目标。</w:t>
      </w:r>
    </w:p>
    <w:p>
      <w:r>
        <w:rPr>
          <w:rFonts w:ascii="Microsoft YaHei" w:hAnsi="Microsoft YaHei"/>
          <w:b/>
          <w:color w:val="1A1A1A"/>
        </w:rPr>
        <w:t>管理层增持：</w:t>
      </w:r>
      <w:r>
        <w:rPr>
          <w:rFonts w:ascii="Microsoft YaHei" w:hAnsi="Microsoft YaHei"/>
        </w:rPr>
        <w:t xml:space="preserve"> 6月4日至5日，包括董事长纪瑞东在内的 </w:t>
      </w:r>
      <w:r>
        <w:rPr>
          <w:rFonts w:ascii="Microsoft YaHei" w:hAnsi="Microsoft YaHei"/>
          <w:b/>
          <w:color w:val="1A1A1A"/>
        </w:rPr>
        <w:t>9名高管</w:t>
      </w:r>
      <w:r>
        <w:rPr>
          <w:rFonts w:ascii="Microsoft YaHei" w:hAnsi="Microsoft YaHei"/>
        </w:rPr>
        <w:t xml:space="preserve"> 通过集中竞价增持 </w:t>
      </w:r>
      <w:r>
        <w:rPr>
          <w:rFonts w:ascii="Microsoft YaHei" w:hAnsi="Microsoft YaHei"/>
          <w:b/>
          <w:color w:val="1A1A1A"/>
        </w:rPr>
        <w:t>9万股</w:t>
      </w:r>
      <w:r>
        <w:rPr>
          <w:rFonts w:ascii="Microsoft YaHei" w:hAnsi="Microsoft YaHei"/>
        </w:rPr>
        <w:t xml:space="preserve">（金额约 </w:t>
      </w:r>
      <w:r>
        <w:rPr>
          <w:rFonts w:ascii="Microsoft YaHei" w:hAnsi="Microsoft YaHei"/>
          <w:b/>
          <w:color w:val="1A1A1A"/>
        </w:rPr>
        <w:t>370.9万元</w:t>
      </w:r>
      <w:r>
        <w:rPr>
          <w:rFonts w:ascii="Microsoft YaHei" w:hAnsi="Microsoft YaHei"/>
        </w:rPr>
        <w:t>），彰显对公司长期发展信心。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新厂区正式迈入批量生产阶段</w:t>
      </w:r>
    </w:p>
    <w:p>
      <w:r>
        <w:rPr>
          <w:rFonts w:ascii="Microsoft YaHei" w:hAnsi="Microsoft YaHei"/>
        </w:rPr>
        <w:t xml:space="preserve">沈飞新厂区核心厂房已竣工，2026年正式进入批量生产阶段。未来 </w:t>
      </w:r>
      <w:r>
        <w:rPr>
          <w:rFonts w:ascii="Microsoft YaHei" w:hAnsi="Microsoft YaHei"/>
          <w:b/>
          <w:color w:val="1A1A1A"/>
        </w:rPr>
        <w:t>3年至5年</w:t>
      </w:r>
      <w:r>
        <w:rPr>
          <w:rFonts w:ascii="Microsoft YaHei" w:hAnsi="Microsoft YaHei"/>
        </w:rPr>
        <w:t xml:space="preserve"> 将形成"智能化生产+全链条"配套格局，</w:t>
      </w:r>
      <w:r>
        <w:rPr>
          <w:rFonts w:ascii="Microsoft YaHei" w:hAnsi="Microsoft YaHei"/>
          <w:b/>
          <w:color w:val="1A1A1A"/>
        </w:rPr>
        <w:t>总产能翻倍</w:t>
      </w:r>
      <w:r>
        <w:rPr>
          <w:rFonts w:ascii="Microsoft YaHei" w:hAnsi="Microsoft YaHei"/>
        </w:rPr>
        <w:t>。这一产能扩张路径为未来业绩恢复和增长提供坚实支撑。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融资余额处于历史低位</w:t>
      </w:r>
    </w:p>
    <w:p>
      <w:r>
        <w:rPr>
          <w:rFonts w:ascii="Microsoft YaHei" w:hAnsi="Microsoft YaHei"/>
        </w:rPr>
        <w:t xml:space="preserve">截至7月27日，融资余额 </w:t>
      </w:r>
      <w:r>
        <w:rPr>
          <w:rFonts w:ascii="Microsoft YaHei" w:hAnsi="Microsoft YaHei"/>
          <w:b/>
          <w:color w:val="1A1A1A"/>
        </w:rPr>
        <w:t>18.16亿元</w:t>
      </w:r>
      <w:r>
        <w:rPr>
          <w:rFonts w:ascii="Microsoft YaHei" w:hAnsi="Microsoft YaHei"/>
        </w:rPr>
        <w:t xml:space="preserve">，占流通市值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>，低于近一年20%分位水平。近10个交易日融资持续净流出，但今日盘中放量上涨，显示增量资金或并非来自杠杆资金，更可能是</w:t>
      </w:r>
      <w:r>
        <w:rPr>
          <w:rFonts w:ascii="Microsoft YaHei" w:hAnsi="Microsoft YaHei"/>
          <w:b/>
          <w:color w:val="1A1A1A"/>
        </w:rPr>
        <w:t>场外入场资金</w:t>
      </w:r>
      <w:r>
        <w:rPr>
          <w:rFonts w:ascii="Microsoft YaHei" w:hAnsi="Microsoft YaHei"/>
        </w:rPr>
        <w:t>推动。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航空航天与国防(A股)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4/65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55/1209</w:t>
            </w:r>
          </w:p>
        </w:tc>
      </w:tr>
    </w:tbl>
    <w:p/>
    <w:p>
      <w:r>
        <w:rPr>
          <w:rFonts w:ascii="Microsoft YaHei" w:hAnsi="Microsoft YaHei"/>
        </w:rPr>
        <w:t xml:space="preserve">中航沈飞在航空航天板块中排名第 </w:t>
      </w:r>
      <w:r>
        <w:rPr>
          <w:rFonts w:ascii="Microsoft YaHei" w:hAnsi="Microsoft YaHei"/>
          <w:b/>
          <w:color w:val="1A1A1A"/>
        </w:rPr>
        <w:t>4/65</w:t>
      </w:r>
      <w:r>
        <w:rPr>
          <w:rFonts w:ascii="Microsoft YaHei" w:hAnsi="Microsoft YaHei"/>
        </w:rPr>
        <w:t>，领涨于板块内多数个股（板块整体下跌1.63%，该股逆势大涨4.43%），体现出</w:t>
      </w:r>
      <w:r>
        <w:rPr>
          <w:rFonts w:ascii="Microsoft YaHei" w:hAnsi="Microsoft YaHei"/>
          <w:b/>
          <w:color w:val="1A1A1A"/>
        </w:rPr>
        <w:t>极强的个股α</w:t>
      </w:r>
      <w:r>
        <w:rPr>
          <w:rFonts w:ascii="Microsoft YaHei" w:hAnsi="Microsoft YaHei"/>
        </w:rPr>
        <w:t>。上证50领涨全市场（+3.11%），权重蓝筹风格对该股形成共振效应。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</w:rPr>
        <w:t>中航沈飞今日半日走势强势，核心要点如下：</w:t>
      </w:r>
    </w:p>
    <w:p>
      <w:r>
        <w:rPr>
          <w:rFonts w:ascii="Microsoft YaHei" w:hAnsi="Microsoft YaHei"/>
          <w:b/>
          <w:color w:val="1A1A1A"/>
        </w:rPr>
        <w:t>利好因素：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>：半日成交额已超昨日全日，量比1.78，外盘占优，资金主动买入意愿强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技术面突破</w:t>
      </w:r>
      <w:r>
        <w:rPr>
          <w:rFonts w:ascii="Microsoft YaHei" w:hAnsi="Microsoft YaHei"/>
        </w:rPr>
        <w:t>：股价站上MA10（41.20元）和MA20中轨（40.86元），短期上行通道打开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管理层增持+新产能落地</w:t>
      </w:r>
      <w:r>
        <w:rPr>
          <w:rFonts w:ascii="Microsoft YaHei" w:hAnsi="Microsoft YaHei"/>
        </w:rPr>
        <w:t>：中期基本面改善逻辑清晰，产能翻倍支撑远期业绩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上证50蓝筹共振</w:t>
      </w:r>
      <w:r>
        <w:rPr>
          <w:rFonts w:ascii="Microsoft YaHei" w:hAnsi="Microsoft YaHei"/>
        </w:rPr>
        <w:t>：大盘风格偏蓝筹，该股作为上证50成分股获指数资金增配</w:t>
      </w:r>
    </w:p>
    <w:p>
      <w:r>
        <w:rPr>
          <w:rFonts w:ascii="Microsoft YaHei" w:hAnsi="Microsoft YaHei"/>
          <w:b/>
          <w:color w:val="1A1A1A"/>
        </w:rPr>
        <w:t>风险因素：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基本面短期承压</w:t>
      </w:r>
      <w:r>
        <w:rPr>
          <w:rFonts w:ascii="Microsoft YaHei" w:hAnsi="Microsoft YaHei"/>
        </w:rPr>
        <w:t>：上半年归母净利润预降58%，高估值（动态PE 180倍）需要业绩消化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融券余额偏高</w:t>
      </w:r>
      <w:r>
        <w:rPr>
          <w:rFonts w:ascii="Microsoft YaHei" w:hAnsi="Microsoft YaHei"/>
        </w:rPr>
        <w:t>：做空力量仍在，盘面分歧不可忽视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MA5（42.94元）</w:t>
      </w:r>
      <w:r>
        <w:rPr>
          <w:rFonts w:ascii="Microsoft YaHei" w:hAnsi="Microsoft YaHei"/>
        </w:rPr>
        <w:t xml:space="preserve"> 为午后阻力位，布林上轨 </w:t>
      </w:r>
      <w:r>
        <w:rPr>
          <w:rFonts w:ascii="Microsoft YaHei" w:hAnsi="Microsoft YaHei"/>
          <w:b/>
          <w:color w:val="1A1A1A"/>
        </w:rPr>
        <w:t>43.76元</w:t>
      </w:r>
      <w:r>
        <w:rPr>
          <w:rFonts w:ascii="Microsoft YaHei" w:hAnsi="Microsoft YaHei"/>
        </w:rPr>
        <w:t xml:space="preserve"> 为更强压力区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能否有效突破 </w:t>
      </w:r>
      <w:r>
        <w:rPr>
          <w:rFonts w:ascii="Microsoft YaHei" w:hAnsi="Microsoft YaHei"/>
          <w:b/>
          <w:color w:val="1A1A1A"/>
        </w:rPr>
        <w:t>MA5（42.94元）</w:t>
      </w:r>
      <w:r>
        <w:rPr>
          <w:rFonts w:ascii="Microsoft YaHei" w:hAnsi="Microsoft YaHei"/>
        </w:rPr>
        <w:t xml:space="preserve"> 并站稳</w:t>
      </w:r>
    </w:p>
    <w:p>
      <w:pPr>
        <w:pStyle w:val="ListNumber"/>
      </w:pPr>
      <w:r>
        <w:rPr>
          <w:rFonts w:ascii="Microsoft YaHei" w:hAnsi="Microsoft YaHei"/>
        </w:rPr>
        <w:t>半日成交额已达12亿，午后是否延续放量态势</w:t>
      </w:r>
    </w:p>
    <w:p>
      <w:pPr>
        <w:pStyle w:val="ListNumber"/>
      </w:pPr>
      <w:r>
        <w:rPr>
          <w:rFonts w:ascii="Microsoft YaHei" w:hAnsi="Microsoft YaHei"/>
        </w:rPr>
        <w:t>上证50指数走势能否继续支撑军工蓝筹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本文基于公开数据和资讯分析，不构成任何投资建议。市场有风险，投资需谨慎。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中航沈飞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