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中芯国际（688981.SH）午间分析报告</w:t>
      </w:r>
    </w:p>
    <w:p>
      <w:r>
        <w:rPr>
          <w:rFonts w:ascii="Microsoft YaHei" w:hAnsi="Microsoft YaHei"/>
          <w:b/>
          <w:color w:val="1A1A1A"/>
        </w:rPr>
        <w:t>数据截止：2026年7月28日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今日全市场呈现两极分化、恐慌情绪蔓延的格局。早盘三大指数集体重挫，</w:t>
      </w:r>
      <w:r>
        <w:rPr>
          <w:rFonts w:ascii="Microsoft YaHei" w:hAnsi="Microsoft YaHei"/>
          <w:b/>
          <w:color w:val="1A1A1A"/>
        </w:rPr>
        <w:t>创业板指一度跌逾6%</w:t>
      </w:r>
      <w:r>
        <w:rPr>
          <w:rFonts w:ascii="Microsoft YaHei" w:hAnsi="Microsoft YaHei"/>
        </w:rPr>
        <w:t xml:space="preserve">，沪指跌1.48%，深成指跌3.96%。沪深京三市下跌个股近3100只，赚钱效应仅 </w:t>
      </w:r>
      <w:r>
        <w:rPr>
          <w:rFonts w:ascii="Microsoft YaHei" w:hAnsi="Microsoft YaHei"/>
          <w:b/>
          <w:color w:val="1A1A1A"/>
        </w:rPr>
        <w:t>48%</w:t>
      </w:r>
      <w:r>
        <w:rPr>
          <w:rFonts w:ascii="Microsoft YaHei" w:hAnsi="Microsoft YaHei"/>
        </w:rPr>
        <w:t xml:space="preserve">，市场热度降至 </w:t>
      </w:r>
      <w:r>
        <w:rPr>
          <w:rFonts w:ascii="Microsoft YaHei" w:hAnsi="Microsoft YaHei"/>
          <w:b/>
          <w:color w:val="1A1A1A"/>
        </w:rPr>
        <w:t>43（一般）</w:t>
      </w:r>
      <w:r>
        <w:rPr>
          <w:rFonts w:ascii="Microsoft YaHei" w:hAnsi="Microsoft YaHei"/>
        </w:rPr>
        <w:t>。涨停梯队方面，一板仅45只（晋级率13%），高度板仅剩2只，短线情绪处于冰点。</w:t>
      </w:r>
    </w:p>
    <w:p>
      <w:r>
        <w:rPr>
          <w:rFonts w:ascii="Microsoft YaHei" w:hAnsi="Microsoft YaHei"/>
          <w:b/>
          <w:color w:val="1A1A1A"/>
        </w:rPr>
        <w:t>核心矛盾</w:t>
      </w:r>
      <w:r>
        <w:rPr>
          <w:rFonts w:ascii="Microsoft YaHei" w:hAnsi="Microsoft YaHei"/>
        </w:rPr>
        <w:t xml:space="preserve">在于：外围科技板块遭遇"黑色星期二"——韩国KOSPI指数跌幅扩大至 </w:t>
      </w:r>
      <w:r>
        <w:rPr>
          <w:rFonts w:ascii="Microsoft YaHei" w:hAnsi="Microsoft YaHei"/>
          <w:b/>
          <w:color w:val="1A1A1A"/>
        </w:rPr>
        <w:t>10%</w:t>
      </w:r>
      <w:r>
        <w:rPr>
          <w:rFonts w:ascii="Microsoft YaHei" w:hAnsi="Microsoft YaHei"/>
        </w:rPr>
        <w:t>，SK海力士跌超13%、三星电子跌逾12%；费城半导体指数隔夜再跌超2%，创5月20日以来收盘新低；日经225、台交所加权指数均跌逾4%。全球AI硬件股的系统性抛售成为今日A股科技板块承压的最大外因。</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p>
      <w:pPr>
        <w:spacing w:before="280" w:after="80" w:line="312" w:lineRule="auto"/>
      </w:pPr>
      <w:r>
        <w:rPr>
          <w:rFonts w:ascii="Microsoft YaHei" w:hAnsi="Microsoft YaHei"/>
          <w:b/>
          <w:color w:val="333333"/>
          <w:sz w:val="24"/>
        </w:rPr>
        <w:t>收盘概况</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数据</w:t>
            </w:r>
          </w:p>
        </w:tc>
        <w:tc>
          <w:tcPr>
            <w:tcW w:type="dxa" w:w="3022"/>
            <w:shd w:fill="F6F8FA" w:val="clear"/>
          </w:tcPr>
          <w:p>
            <w:pPr>
              <w:spacing w:before="40" w:after="40" w:line="288" w:lineRule="auto"/>
            </w:pPr>
            <w:r/>
            <w:r>
              <w:rPr>
                <w:rFonts w:ascii="Microsoft YaHei" w:hAnsi="Microsoft YaHei"/>
                <w:b/>
                <w:color w:val="1A1A1A"/>
                <w:sz w:val="18"/>
              </w:rPr>
              <w:t>同比/环比</w:t>
            </w:r>
          </w:p>
        </w:tc>
      </w:tr>
      <w:tr>
        <w:tc>
          <w:tcPr>
            <w:tcW w:type="dxa" w:w="3022"/>
          </w:tcPr>
          <w:p>
            <w:pPr>
              <w:spacing w:before="40" w:after="40" w:line="288" w:lineRule="auto"/>
            </w:pPr>
            <w:r/>
            <w:r>
              <w:rPr>
                <w:rFonts w:ascii="Microsoft YaHei" w:hAnsi="Microsoft YaHei"/>
                <w:b/>
                <w:color w:val="1A1A1A"/>
                <w:sz w:val="18"/>
              </w:rPr>
              <w:t>当前价</w:t>
            </w:r>
          </w:p>
        </w:tc>
        <w:tc>
          <w:tcPr>
            <w:tcW w:type="dxa" w:w="3022"/>
          </w:tcPr>
          <w:p>
            <w:pPr>
              <w:spacing w:before="40" w:after="40" w:line="288" w:lineRule="auto"/>
            </w:pPr>
            <w:r/>
            <w:r>
              <w:rPr>
                <w:rFonts w:ascii="Microsoft YaHei" w:hAnsi="Microsoft YaHei"/>
                <w:b/>
                <w:color w:val="1A1A1A"/>
                <w:sz w:val="18"/>
              </w:rPr>
              <w:t>144.00 元</w:t>
            </w:r>
          </w:p>
        </w:tc>
        <w:tc>
          <w:tcPr>
            <w:tcW w:type="dxa" w:w="3022"/>
          </w:tcPr>
          <w:p>
            <w:pPr>
              <w:spacing w:before="40" w:after="40" w:line="288" w:lineRule="auto"/>
            </w:pPr>
            <w:r/>
            <w:r>
              <w:rPr>
                <w:rFonts w:ascii="Microsoft YaHei" w:hAnsi="Microsoft YaHei"/>
                <w:sz w:val="18"/>
              </w:rPr>
              <w:t>较昨收 +2.95%</w:t>
            </w:r>
          </w:p>
        </w:tc>
      </w:tr>
      <w:tr>
        <w:tc>
          <w:tcPr>
            <w:tcW w:type="dxa" w:w="3022"/>
            <w:shd w:fill="F8F9FA" w:val="clear"/>
          </w:tcPr>
          <w:p>
            <w:pPr>
              <w:spacing w:before="40" w:after="40" w:line="288" w:lineRule="auto"/>
            </w:pPr>
            <w:r/>
            <w:r>
              <w:rPr>
                <w:rFonts w:ascii="Microsoft YaHei" w:hAnsi="Microsoft YaHei"/>
                <w:sz w:val="18"/>
              </w:rPr>
              <w:t>开盘价</w:t>
            </w:r>
          </w:p>
        </w:tc>
        <w:tc>
          <w:tcPr>
            <w:tcW w:type="dxa" w:w="3022"/>
            <w:shd w:fill="F8F9FA" w:val="clear"/>
          </w:tcPr>
          <w:p>
            <w:pPr>
              <w:spacing w:before="40" w:after="40" w:line="288" w:lineRule="auto"/>
            </w:pPr>
            <w:r/>
            <w:r>
              <w:rPr>
                <w:rFonts w:ascii="Microsoft YaHei" w:hAnsi="Microsoft YaHei"/>
                <w:sz w:val="18"/>
              </w:rPr>
              <w:t>145.00 元</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最高价 / 最低价</w:t>
            </w:r>
          </w:p>
        </w:tc>
        <w:tc>
          <w:tcPr>
            <w:tcW w:type="dxa" w:w="3022"/>
          </w:tcPr>
          <w:p>
            <w:pPr>
              <w:spacing w:before="40" w:after="40" w:line="288" w:lineRule="auto"/>
            </w:pPr>
            <w:r/>
            <w:r>
              <w:rPr>
                <w:rFonts w:ascii="Microsoft YaHei" w:hAnsi="Microsoft YaHei"/>
                <w:sz w:val="18"/>
              </w:rPr>
              <w:t>147.47 / 138.11</w:t>
            </w:r>
          </w:p>
        </w:tc>
        <w:tc>
          <w:tcPr>
            <w:tcW w:type="dxa" w:w="3022"/>
          </w:tcPr>
          <w:p>
            <w:pPr>
              <w:spacing w:before="40" w:after="40" w:line="288" w:lineRule="auto"/>
            </w:pPr>
            <w:r/>
            <w:r>
              <w:rPr>
                <w:rFonts w:ascii="Microsoft YaHei" w:hAnsi="Microsoft YaHei"/>
                <w:sz w:val="18"/>
              </w:rPr>
              <w:t xml:space="preserve">振幅 </w:t>
            </w:r>
            <w:r>
              <w:rPr>
                <w:rFonts w:ascii="Microsoft YaHei" w:hAnsi="Microsoft YaHei"/>
                <w:b/>
                <w:color w:val="1A1A1A"/>
                <w:sz w:val="18"/>
              </w:rPr>
              <w:t>6.69%</w:t>
            </w:r>
          </w:p>
        </w:tc>
      </w:tr>
      <w:tr>
        <w:tc>
          <w:tcPr>
            <w:tcW w:type="dxa" w:w="3022"/>
            <w:shd w:fill="F8F9FA" w:val="clear"/>
          </w:tcPr>
          <w:p>
            <w:pPr>
              <w:spacing w:before="40" w:after="40" w:line="288" w:lineRule="auto"/>
            </w:pPr>
            <w:r/>
            <w:r>
              <w:rPr>
                <w:rFonts w:ascii="Microsoft YaHei" w:hAnsi="Microsoft YaHei"/>
                <w:sz w:val="18"/>
              </w:rPr>
              <w:t>成交量</w:t>
            </w:r>
          </w:p>
        </w:tc>
        <w:tc>
          <w:tcPr>
            <w:tcW w:type="dxa" w:w="3022"/>
            <w:shd w:fill="F8F9FA" w:val="clear"/>
          </w:tcPr>
          <w:p>
            <w:pPr>
              <w:spacing w:before="40" w:after="40" w:line="288" w:lineRule="auto"/>
            </w:pPr>
            <w:r/>
            <w:r>
              <w:rPr>
                <w:rFonts w:ascii="Microsoft YaHei" w:hAnsi="Microsoft YaHei"/>
                <w:sz w:val="18"/>
              </w:rPr>
              <w:t>93,942,500 手</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成交额</w:t>
            </w:r>
          </w:p>
        </w:tc>
        <w:tc>
          <w:tcPr>
            <w:tcW w:type="dxa" w:w="3022"/>
          </w:tcPr>
          <w:p>
            <w:pPr>
              <w:spacing w:before="40" w:after="40" w:line="288" w:lineRule="auto"/>
            </w:pPr>
            <w:r/>
            <w:r>
              <w:rPr>
                <w:rFonts w:ascii="Microsoft YaHei" w:hAnsi="Microsoft YaHei"/>
                <w:b/>
                <w:color w:val="1A1A1A"/>
                <w:sz w:val="18"/>
              </w:rPr>
              <w:t>134.65 亿元</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换手率</w:t>
            </w:r>
          </w:p>
        </w:tc>
        <w:tc>
          <w:tcPr>
            <w:tcW w:type="dxa" w:w="3022"/>
            <w:shd w:fill="F8F9FA" w:val="clear"/>
          </w:tcPr>
          <w:p>
            <w:pPr>
              <w:spacing w:before="40" w:after="40" w:line="288" w:lineRule="auto"/>
            </w:pPr>
            <w:r/>
            <w:r>
              <w:rPr>
                <w:rFonts w:ascii="Microsoft YaHei" w:hAnsi="Microsoft YaHei"/>
                <w:b/>
                <w:color w:val="1A1A1A"/>
                <w:sz w:val="18"/>
              </w:rPr>
              <w:t>4.70%</w:t>
            </w:r>
          </w:p>
        </w:tc>
        <w:tc>
          <w:tcPr>
            <w:tcW w:type="dxa" w:w="3022"/>
            <w:shd w:fill="F8F9FA" w:val="clear"/>
          </w:tcPr>
          <w:p>
            <w:pPr>
              <w:spacing w:before="40" w:after="40" w:line="288" w:lineRule="auto"/>
            </w:pPr>
            <w:r/>
            <w:r>
              <w:rPr>
                <w:rFonts w:ascii="Microsoft YaHei" w:hAnsi="Microsoft YaHei"/>
                <w:sz w:val="18"/>
              </w:rPr>
              <w:t xml:space="preserve">较前一交易日（2.68%）放量 </w:t>
            </w:r>
            <w:r>
              <w:rPr>
                <w:rFonts w:ascii="Microsoft YaHei" w:hAnsi="Microsoft YaHei"/>
                <w:b/>
                <w:color w:val="1A1A1A"/>
                <w:sz w:val="18"/>
              </w:rPr>
              <w:t>1.75 倍</w:t>
            </w:r>
          </w:p>
        </w:tc>
      </w:tr>
      <w:tr>
        <w:tc>
          <w:tcPr>
            <w:tcW w:type="dxa" w:w="3022"/>
          </w:tcPr>
          <w:p>
            <w:pPr>
              <w:spacing w:before="40" w:after="40" w:line="288" w:lineRule="auto"/>
            </w:pPr>
            <w:r/>
            <w:r>
              <w:rPr>
                <w:rFonts w:ascii="Microsoft YaHei" w:hAnsi="Microsoft YaHei"/>
                <w:sz w:val="18"/>
              </w:rPr>
              <w:t>量比</w:t>
            </w:r>
          </w:p>
        </w:tc>
        <w:tc>
          <w:tcPr>
            <w:tcW w:type="dxa" w:w="3022"/>
          </w:tcPr>
          <w:p>
            <w:pPr>
              <w:spacing w:before="40" w:after="40" w:line="288" w:lineRule="auto"/>
            </w:pPr>
            <w:r/>
            <w:r>
              <w:rPr>
                <w:rFonts w:ascii="Microsoft YaHei" w:hAnsi="Microsoft YaHei"/>
                <w:sz w:val="18"/>
              </w:rPr>
              <w:t>0.95</w:t>
            </w:r>
          </w:p>
        </w:tc>
        <w:tc>
          <w:tcPr>
            <w:tcW w:type="dxa" w:w="3022"/>
          </w:tcPr>
          <w:p>
            <w:pPr>
              <w:spacing w:before="40" w:after="40" w:line="288" w:lineRule="auto"/>
            </w:pPr>
            <w:r/>
            <w:r>
              <w:rPr>
                <w:rFonts w:ascii="Microsoft YaHei" w:hAnsi="Microsoft YaHei"/>
                <w:sz w:val="18"/>
              </w:rPr>
              <w:t>接近平量水平</w:t>
            </w:r>
          </w:p>
        </w:tc>
      </w:tr>
      <w:tr>
        <w:tc>
          <w:tcPr>
            <w:tcW w:type="dxa" w:w="3022"/>
            <w:shd w:fill="F8F9FA" w:val="clear"/>
          </w:tcPr>
          <w:p>
            <w:pPr>
              <w:spacing w:before="40" w:after="40" w:line="288" w:lineRule="auto"/>
            </w:pPr>
            <w:r/>
            <w:r>
              <w:rPr>
                <w:rFonts w:ascii="Microsoft YaHei" w:hAnsi="Microsoft YaHei"/>
                <w:sz w:val="18"/>
              </w:rPr>
              <w:t>均价</w:t>
            </w:r>
          </w:p>
        </w:tc>
        <w:tc>
          <w:tcPr>
            <w:tcW w:type="dxa" w:w="3022"/>
            <w:shd w:fill="F8F9FA" w:val="clear"/>
          </w:tcPr>
          <w:p>
            <w:pPr>
              <w:spacing w:before="40" w:after="40" w:line="288" w:lineRule="auto"/>
            </w:pPr>
            <w:r/>
            <w:r>
              <w:rPr>
                <w:rFonts w:ascii="Microsoft YaHei" w:hAnsi="Microsoft YaHei"/>
                <w:sz w:val="18"/>
              </w:rPr>
              <w:t>143.33 元</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动态市盈率</w:t>
            </w:r>
          </w:p>
        </w:tc>
        <w:tc>
          <w:tcPr>
            <w:tcW w:type="dxa" w:w="3022"/>
          </w:tcPr>
          <w:p>
            <w:pPr>
              <w:spacing w:before="40" w:after="40" w:line="288" w:lineRule="auto"/>
            </w:pPr>
            <w:r/>
            <w:r>
              <w:rPr>
                <w:rFonts w:ascii="Microsoft YaHei" w:hAnsi="Microsoft YaHei"/>
                <w:b/>
                <w:color w:val="1A1A1A"/>
                <w:sz w:val="18"/>
              </w:rPr>
              <w:t>226.41</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市净率</w:t>
            </w:r>
          </w:p>
        </w:tc>
        <w:tc>
          <w:tcPr>
            <w:tcW w:type="dxa" w:w="3022"/>
            <w:shd w:fill="F8F9FA" w:val="clear"/>
          </w:tcPr>
          <w:p>
            <w:pPr>
              <w:spacing w:before="40" w:after="40" w:line="288" w:lineRule="auto"/>
            </w:pPr>
            <w:r/>
            <w:r>
              <w:rPr>
                <w:rFonts w:ascii="Microsoft YaHei" w:hAnsi="Microsoft YaHei"/>
                <w:b/>
                <w:color w:val="1A1A1A"/>
                <w:sz w:val="18"/>
              </w:rPr>
              <w:t>6.47</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总市值</w:t>
            </w:r>
          </w:p>
        </w:tc>
        <w:tc>
          <w:tcPr>
            <w:tcW w:type="dxa" w:w="3022"/>
          </w:tcPr>
          <w:p>
            <w:pPr>
              <w:spacing w:before="40" w:after="40" w:line="288" w:lineRule="auto"/>
            </w:pPr>
            <w:r/>
            <w:r>
              <w:rPr>
                <w:rFonts w:ascii="Microsoft YaHei" w:hAnsi="Microsoft YaHei"/>
                <w:b/>
                <w:color w:val="1A1A1A"/>
                <w:sz w:val="18"/>
              </w:rPr>
              <w:t>12,327.56 亿元</w:t>
            </w:r>
          </w:p>
        </w:tc>
        <w:tc>
          <w:tcPr>
            <w:tcW w:type="dxa" w:w="3022"/>
          </w:tcPr>
          <w:p>
            <w:pPr>
              <w:spacing w:before="40" w:after="40" w:line="288" w:lineRule="auto"/>
            </w:pPr>
            <w:r/>
            <w:r>
              <w:rPr>
                <w:rFonts w:ascii="Microsoft YaHei" w:hAnsi="Microsoft YaHei"/>
                <w:sz w:val="18"/>
              </w:rPr>
              <w:t>流通市值 2,879.37 亿元</w:t>
            </w:r>
          </w:p>
        </w:tc>
      </w:tr>
    </w:tbl>
    <w:p/>
    <w:p>
      <w:pPr>
        <w:spacing w:before="280" w:after="80" w:line="312" w:lineRule="auto"/>
      </w:pPr>
      <w:r>
        <w:rPr>
          <w:rFonts w:ascii="Microsoft YaHei" w:hAnsi="Microsoft YaHei"/>
          <w:b/>
          <w:color w:val="333333"/>
          <w:sz w:val="24"/>
        </w:rPr>
        <w:t>核心看点：逆势走强</w:t>
      </w:r>
    </w:p>
    <w:p>
      <w:r>
        <w:rPr>
          <w:rFonts w:ascii="Microsoft YaHei" w:hAnsi="Microsoft YaHei"/>
        </w:rPr>
        <w:t xml:space="preserve">在全市场半导体板块暴跌 </w:t>
      </w:r>
      <w:r>
        <w:rPr>
          <w:rFonts w:ascii="Microsoft YaHei" w:hAnsi="Microsoft YaHei"/>
          <w:b/>
          <w:color w:val="1A1A1A"/>
        </w:rPr>
        <w:t>-5.27%</w:t>
      </w:r>
      <w:r>
        <w:rPr>
          <w:rFonts w:ascii="Microsoft YaHei" w:hAnsi="Microsoft YaHei"/>
        </w:rPr>
        <w:t xml:space="preserve">（排名1057/1158，仅31只上涨、174只下跌）的背景下，中芯国际逆势收涨 </w:t>
      </w:r>
      <w:r>
        <w:rPr>
          <w:rFonts w:ascii="Microsoft YaHei" w:hAnsi="Microsoft YaHei"/>
          <w:b/>
          <w:color w:val="1A1A1A"/>
        </w:rPr>
        <w:t>+2.95%</w:t>
      </w:r>
      <w:r>
        <w:rPr>
          <w:rFonts w:ascii="Microsoft YaHei" w:hAnsi="Microsoft YaHei"/>
        </w:rPr>
        <w:t xml:space="preserve">，成为板块中仅有的18只逆势飘红个股之一，在207只半导体标的排名第 </w:t>
      </w:r>
      <w:r>
        <w:rPr>
          <w:rFonts w:ascii="Microsoft YaHei" w:hAnsi="Microsoft YaHei"/>
          <w:b/>
          <w:color w:val="1A1A1A"/>
        </w:rPr>
        <w:t>18</w:t>
      </w:r>
      <w:r>
        <w:rPr>
          <w:rFonts w:ascii="Microsoft YaHei" w:hAnsi="Microsoft YaHei"/>
        </w:rPr>
        <w:t>。这一表现与板块整体走势形成</w:t>
      </w:r>
      <w:r>
        <w:rPr>
          <w:rFonts w:ascii="Microsoft YaHei" w:hAnsi="Microsoft YaHei"/>
          <w:b/>
          <w:color w:val="1A1A1A"/>
        </w:rPr>
        <w:t>严重背离</w:t>
      </w:r>
      <w:r>
        <w:rPr>
          <w:rFonts w:ascii="Microsoft YaHei" w:hAnsi="Microsoft YaHei"/>
        </w:rPr>
        <w:t>，说明有主力资金在主动承接。</w:t>
      </w:r>
    </w:p>
    <w:p>
      <w:r>
        <w:rPr>
          <w:rFonts w:ascii="Microsoft YaHei" w:hAnsi="Microsoft YaHei"/>
        </w:rPr>
        <w:t>股价日内经历了大幅波动：早盘高开至145.00元后快速探底至</w:t>
      </w:r>
      <w:r>
        <w:rPr>
          <w:rFonts w:ascii="Microsoft YaHei" w:hAnsi="Microsoft YaHei"/>
          <w:b/>
          <w:color w:val="1A1A1A"/>
        </w:rPr>
        <w:t>138.11元</w:t>
      </w:r>
      <w:r>
        <w:rPr>
          <w:rFonts w:ascii="Microsoft YaHei" w:hAnsi="Microsoft YaHei"/>
        </w:rPr>
        <w:t>（跌幅约-1.3%），随后展开两波快速反弹（09:36 +0.98% / 09:37 +0.89%），最终稳定在144元附近收盘。振幅高达</w:t>
      </w:r>
      <w:r>
        <w:rPr>
          <w:rFonts w:ascii="Microsoft YaHei" w:hAnsi="Microsoft YaHei"/>
          <w:b/>
          <w:color w:val="1A1A1A"/>
        </w:rPr>
        <w:t>6.69%</w:t>
      </w:r>
      <w:r>
        <w:rPr>
          <w:rFonts w:ascii="Microsoft YaHei" w:hAnsi="Microsoft YaHei"/>
        </w:rPr>
        <w:t>，多空博弈极为激烈。</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b/>
                <w:color w:val="1A1A1A"/>
                <w:sz w:val="18"/>
              </w:rPr>
              <w:t>净流向</w:t>
            </w:r>
          </w:p>
        </w:tc>
        <w:tc>
          <w:tcPr>
            <w:tcW w:type="dxa" w:w="4533"/>
          </w:tcPr>
          <w:p>
            <w:pPr>
              <w:spacing w:before="40" w:after="40" w:line="288" w:lineRule="auto"/>
            </w:pPr>
            <w:r/>
            <w:r>
              <w:rPr>
                <w:rFonts w:ascii="Microsoft YaHei" w:hAnsi="Microsoft YaHei"/>
                <w:b/>
                <w:color w:val="1A1A1A"/>
                <w:sz w:val="18"/>
              </w:rPr>
              <w:t>净流出 3.40 亿元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119 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119 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6,071.0 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b/>
                <w:color w:val="1A1A1A"/>
                <w:sz w:val="18"/>
              </w:rPr>
              <w:t>10,294.6 万元</w:t>
            </w:r>
          </w:p>
        </w:tc>
      </w:tr>
    </w:tbl>
    <w:p/>
    <w:p>
      <w:pPr>
        <w:spacing w:before="280" w:after="80" w:line="312" w:lineRule="auto"/>
      </w:pPr>
      <w:r>
        <w:rPr>
          <w:rFonts w:ascii="Microsoft YaHei" w:hAnsi="Microsoft YaHei"/>
          <w:b/>
          <w:color w:val="333333"/>
          <w:sz w:val="24"/>
        </w:rPr>
        <w:t>上一交易日资金细分</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类型</w:t>
            </w:r>
          </w:p>
        </w:tc>
        <w:tc>
          <w:tcPr>
            <w:tcW w:type="dxa" w:w="2266"/>
            <w:shd w:fill="F6F8FA" w:val="clear"/>
          </w:tcPr>
          <w:p>
            <w:pPr>
              <w:spacing w:before="40" w:after="40" w:line="288" w:lineRule="auto"/>
            </w:pPr>
            <w:r/>
            <w:r>
              <w:rPr>
                <w:rFonts w:ascii="Microsoft YaHei" w:hAnsi="Microsoft YaHei"/>
                <w:b/>
                <w:color w:val="1A1A1A"/>
                <w:sz w:val="18"/>
              </w:rPr>
              <w:t>净额（元）</w:t>
            </w:r>
          </w:p>
        </w:tc>
        <w:tc>
          <w:tcPr>
            <w:tcW w:type="dxa" w:w="2266"/>
            <w:shd w:fill="F6F8FA" w:val="clear"/>
          </w:tcPr>
          <w:p>
            <w:pPr>
              <w:spacing w:before="40" w:after="40" w:line="288" w:lineRule="auto"/>
            </w:pPr>
            <w:r/>
            <w:r>
              <w:rPr>
                <w:rFonts w:ascii="Microsoft YaHei" w:hAnsi="Microsoft YaHei"/>
                <w:b/>
                <w:color w:val="1A1A1A"/>
                <w:sz w:val="18"/>
              </w:rPr>
              <w:t>买入（元）</w:t>
            </w:r>
          </w:p>
        </w:tc>
        <w:tc>
          <w:tcPr>
            <w:tcW w:type="dxa" w:w="2266"/>
            <w:shd w:fill="F6F8FA" w:val="clear"/>
          </w:tcPr>
          <w:p>
            <w:pPr>
              <w:spacing w:before="40" w:after="40" w:line="288" w:lineRule="auto"/>
            </w:pPr>
            <w:r/>
            <w:r>
              <w:rPr>
                <w:rFonts w:ascii="Microsoft YaHei" w:hAnsi="Microsoft YaHei"/>
                <w:b/>
                <w:color w:val="1A1A1A"/>
                <w:sz w:val="18"/>
              </w:rPr>
              <w:t>卖出（元）</w:t>
            </w:r>
          </w:p>
        </w:tc>
      </w:tr>
      <w:tr>
        <w:tc>
          <w:tcPr>
            <w:tcW w:type="dxa" w:w="2266"/>
          </w:tcPr>
          <w:p>
            <w:pPr>
              <w:spacing w:before="40" w:after="40" w:line="288" w:lineRule="auto"/>
            </w:pPr>
            <w:r/>
            <w:r>
              <w:rPr>
                <w:rFonts w:ascii="Microsoft YaHei" w:hAnsi="Microsoft YaHei"/>
                <w:sz w:val="18"/>
              </w:rPr>
              <w:t>大单</w:t>
            </w:r>
          </w:p>
        </w:tc>
        <w:tc>
          <w:tcPr>
            <w:tcW w:type="dxa" w:w="2266"/>
          </w:tcPr>
          <w:p>
            <w:pPr>
              <w:spacing w:before="40" w:after="40" w:line="288" w:lineRule="auto"/>
            </w:pPr>
            <w:r/>
            <w:r>
              <w:rPr>
                <w:rFonts w:ascii="Microsoft YaHei" w:hAnsi="Microsoft YaHei"/>
                <w:b/>
                <w:color w:val="1A1A1A"/>
                <w:sz w:val="18"/>
              </w:rPr>
              <w:t>-35,910,138</w:t>
            </w:r>
          </w:p>
        </w:tc>
        <w:tc>
          <w:tcPr>
            <w:tcW w:type="dxa" w:w="2266"/>
          </w:tcPr>
          <w:p>
            <w:pPr>
              <w:spacing w:before="40" w:after="40" w:line="288" w:lineRule="auto"/>
            </w:pPr>
            <w:r/>
            <w:r>
              <w:rPr>
                <w:rFonts w:ascii="Microsoft YaHei" w:hAnsi="Microsoft YaHei"/>
                <w:sz w:val="18"/>
              </w:rPr>
              <w:t>67,036,034</w:t>
            </w:r>
          </w:p>
        </w:tc>
        <w:tc>
          <w:tcPr>
            <w:tcW w:type="dxa" w:w="2266"/>
          </w:tcPr>
          <w:p>
            <w:pPr>
              <w:spacing w:before="40" w:after="40" w:line="288" w:lineRule="auto"/>
            </w:pPr>
            <w:r/>
            <w:r>
              <w:rPr>
                <w:rFonts w:ascii="Microsoft YaHei" w:hAnsi="Microsoft YaHei"/>
                <w:sz w:val="18"/>
              </w:rPr>
              <w:t>102,946,172</w:t>
            </w:r>
          </w:p>
        </w:tc>
      </w:tr>
      <w:tr>
        <w:tc>
          <w:tcPr>
            <w:tcW w:type="dxa" w:w="2266"/>
            <w:shd w:fill="F8F9FA" w:val="clear"/>
          </w:tcPr>
          <w:p>
            <w:pPr>
              <w:spacing w:before="40" w:after="40" w:line="288" w:lineRule="auto"/>
            </w:pPr>
            <w:r/>
            <w:r>
              <w:rPr>
                <w:rFonts w:ascii="Microsoft YaHei" w:hAnsi="Microsoft YaHei"/>
                <w:sz w:val="18"/>
              </w:rPr>
              <w:t>中单</w:t>
            </w:r>
          </w:p>
        </w:tc>
        <w:tc>
          <w:tcPr>
            <w:tcW w:type="dxa" w:w="2266"/>
            <w:shd w:fill="F8F9FA" w:val="clear"/>
          </w:tcPr>
          <w:p>
            <w:pPr>
              <w:spacing w:before="40" w:after="40" w:line="288" w:lineRule="auto"/>
            </w:pPr>
            <w:r/>
            <w:r>
              <w:rPr>
                <w:rFonts w:ascii="Microsoft YaHei" w:hAnsi="Microsoft YaHei"/>
                <w:b/>
                <w:color w:val="1A1A1A"/>
                <w:sz w:val="18"/>
              </w:rPr>
              <w:t>-278,697,587</w:t>
            </w:r>
          </w:p>
        </w:tc>
        <w:tc>
          <w:tcPr>
            <w:tcW w:type="dxa" w:w="2266"/>
            <w:shd w:fill="F8F9FA" w:val="clear"/>
          </w:tcPr>
          <w:p>
            <w:pPr>
              <w:spacing w:before="40" w:after="40" w:line="288" w:lineRule="auto"/>
            </w:pPr>
            <w:r/>
            <w:r>
              <w:rPr>
                <w:rFonts w:ascii="Microsoft YaHei" w:hAnsi="Microsoft YaHei"/>
                <w:sz w:val="18"/>
              </w:rPr>
              <w:t>1,931,527,924</w:t>
            </w:r>
          </w:p>
        </w:tc>
        <w:tc>
          <w:tcPr>
            <w:tcW w:type="dxa" w:w="2266"/>
            <w:shd w:fill="F8F9FA" w:val="clear"/>
          </w:tcPr>
          <w:p>
            <w:pPr>
              <w:spacing w:before="40" w:after="40" w:line="288" w:lineRule="auto"/>
            </w:pPr>
            <w:r/>
            <w:r>
              <w:rPr>
                <w:rFonts w:ascii="Microsoft YaHei" w:hAnsi="Microsoft YaHei"/>
                <w:sz w:val="18"/>
              </w:rPr>
              <w:t>2,210,225,511</w:t>
            </w:r>
          </w:p>
        </w:tc>
      </w:tr>
      <w:tr>
        <w:tc>
          <w:tcPr>
            <w:tcW w:type="dxa" w:w="2266"/>
          </w:tcPr>
          <w:p>
            <w:pPr>
              <w:spacing w:before="40" w:after="40" w:line="288" w:lineRule="auto"/>
            </w:pPr>
            <w:r/>
            <w:r>
              <w:rPr>
                <w:rFonts w:ascii="Microsoft YaHei" w:hAnsi="Microsoft YaHei"/>
                <w:sz w:val="18"/>
              </w:rPr>
              <w:t>小单</w:t>
            </w:r>
          </w:p>
        </w:tc>
        <w:tc>
          <w:tcPr>
            <w:tcW w:type="dxa" w:w="2266"/>
          </w:tcPr>
          <w:p>
            <w:pPr>
              <w:spacing w:before="40" w:after="40" w:line="288" w:lineRule="auto"/>
            </w:pPr>
            <w:r/>
            <w:r>
              <w:rPr>
                <w:rFonts w:ascii="Microsoft YaHei" w:hAnsi="Microsoft YaHei"/>
                <w:b/>
                <w:color w:val="1A1A1A"/>
                <w:sz w:val="18"/>
              </w:rPr>
              <w:t>-25,688,997</w:t>
            </w:r>
          </w:p>
        </w:tc>
        <w:tc>
          <w:tcPr>
            <w:tcW w:type="dxa" w:w="2266"/>
          </w:tcPr>
          <w:p>
            <w:pPr>
              <w:spacing w:before="40" w:after="40" w:line="288" w:lineRule="auto"/>
            </w:pPr>
            <w:r/>
            <w:r>
              <w:rPr>
                <w:rFonts w:ascii="Microsoft YaHei" w:hAnsi="Microsoft YaHei"/>
                <w:sz w:val="18"/>
              </w:rPr>
              <w:t>1,938,603,830</w:t>
            </w:r>
          </w:p>
        </w:tc>
        <w:tc>
          <w:tcPr>
            <w:tcW w:type="dxa" w:w="2266"/>
          </w:tcPr>
          <w:p>
            <w:pPr>
              <w:spacing w:before="40" w:after="40" w:line="288" w:lineRule="auto"/>
            </w:pPr>
            <w:r/>
            <w:r>
              <w:rPr>
                <w:rFonts w:ascii="Microsoft YaHei" w:hAnsi="Microsoft YaHei"/>
                <w:sz w:val="18"/>
              </w:rPr>
              <w:t>1,964,292,827</w:t>
            </w:r>
          </w:p>
        </w:tc>
      </w:tr>
      <w:tr>
        <w:tc>
          <w:tcPr>
            <w:tcW w:type="dxa" w:w="2266"/>
            <w:shd w:fill="F8F9FA" w:val="clear"/>
          </w:tcPr>
          <w:p>
            <w:pPr>
              <w:spacing w:before="40" w:after="40" w:line="288" w:lineRule="auto"/>
            </w:pPr>
            <w:r/>
            <w:r>
              <w:rPr>
                <w:rFonts w:ascii="Microsoft YaHei" w:hAnsi="Microsoft YaHei"/>
                <w:b/>
                <w:color w:val="1A1A1A"/>
                <w:sz w:val="18"/>
              </w:rPr>
              <w:t>合计</w:t>
            </w:r>
          </w:p>
        </w:tc>
        <w:tc>
          <w:tcPr>
            <w:tcW w:type="dxa" w:w="2266"/>
            <w:shd w:fill="F8F9FA" w:val="clear"/>
          </w:tcPr>
          <w:p>
            <w:pPr>
              <w:spacing w:before="40" w:after="40" w:line="288" w:lineRule="auto"/>
            </w:pPr>
            <w:r/>
            <w:r>
              <w:rPr>
                <w:rFonts w:ascii="Microsoft YaHei" w:hAnsi="Microsoft YaHei"/>
                <w:b/>
                <w:color w:val="1A1A1A"/>
                <w:sz w:val="18"/>
              </w:rPr>
              <w:t>-340,296,722</w:t>
            </w:r>
          </w:p>
        </w:tc>
        <w:tc>
          <w:tcPr>
            <w:tcW w:type="dxa" w:w="2266"/>
            <w:shd w:fill="F8F9FA" w:val="clear"/>
          </w:tcPr>
          <w:p>
            <w:pPr>
              <w:spacing w:before="40" w:after="40" w:line="288" w:lineRule="auto"/>
            </w:pPr>
            <w:r/>
            <w:r>
              <w:rPr>
                <w:rFonts w:ascii="Microsoft YaHei" w:hAnsi="Microsoft YaHei"/>
                <w:sz w:val="18"/>
              </w:rPr>
              <w:t>-</w:t>
            </w:r>
          </w:p>
        </w:tc>
        <w:tc>
          <w:tcPr>
            <w:tcW w:type="dxa" w:w="2266"/>
            <w:shd w:fill="F8F9FA" w:val="clear"/>
          </w:tcPr>
          <w:p>
            <w:pPr>
              <w:spacing w:before="40" w:after="40" w:line="288" w:lineRule="auto"/>
            </w:pPr>
            <w:r/>
            <w:r>
              <w:rPr>
                <w:rFonts w:ascii="Microsoft YaHei" w:hAnsi="Microsoft YaHei"/>
                <w:sz w:val="18"/>
              </w:rPr>
              <w:t>-</w:t>
            </w:r>
          </w:p>
        </w:tc>
      </w:tr>
    </w:tbl>
    <w:p/>
    <w:p>
      <w:pPr>
        <w:spacing w:before="280" w:after="80" w:line="312" w:lineRule="auto"/>
      </w:pPr>
      <w:r>
        <w:rPr>
          <w:rFonts w:ascii="Microsoft YaHei" w:hAnsi="Microsoft YaHei"/>
          <w:b/>
          <w:color w:val="333333"/>
          <w:sz w:val="24"/>
        </w:rPr>
        <w:t>融资融券（上一交易日）</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余额</w:t>
            </w:r>
          </w:p>
        </w:tc>
        <w:tc>
          <w:tcPr>
            <w:tcW w:type="dxa" w:w="3022"/>
            <w:shd w:fill="F6F8FA" w:val="clear"/>
          </w:tcPr>
          <w:p>
            <w:pPr>
              <w:spacing w:before="40" w:after="40" w:line="288" w:lineRule="auto"/>
            </w:pPr>
            <w:r/>
            <w:r>
              <w:rPr>
                <w:rFonts w:ascii="Microsoft YaHei" w:hAnsi="Microsoft YaHei"/>
                <w:b/>
                <w:color w:val="1A1A1A"/>
                <w:sz w:val="18"/>
              </w:rPr>
              <w:t>较前日变动</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b/>
                <w:color w:val="1A1A1A"/>
                <w:sz w:val="18"/>
              </w:rPr>
              <w:t>113.61 亿元</w:t>
            </w:r>
          </w:p>
        </w:tc>
        <w:tc>
          <w:tcPr>
            <w:tcW w:type="dxa" w:w="3022"/>
          </w:tcPr>
          <w:p>
            <w:pPr>
              <w:spacing w:before="40" w:after="40" w:line="288" w:lineRule="auto"/>
            </w:pPr>
            <w:r/>
            <w:r>
              <w:rPr>
                <w:rFonts w:ascii="Microsoft YaHei" w:hAnsi="Microsoft YaHei"/>
                <w:b/>
                <w:color w:val="1A1A1A"/>
                <w:sz w:val="18"/>
              </w:rPr>
              <w:t>-1.31%</w:t>
            </w:r>
          </w:p>
        </w:tc>
      </w:tr>
      <w:tr>
        <w:tc>
          <w:tcPr>
            <w:tcW w:type="dxa" w:w="3022"/>
            <w:shd w:fill="F8F9FA" w:val="clear"/>
          </w:tcPr>
          <w:p>
            <w:pPr>
              <w:spacing w:before="40" w:after="40" w:line="288" w:lineRule="auto"/>
            </w:pPr>
            <w:r/>
            <w:r>
              <w:rPr>
                <w:rFonts w:ascii="Microsoft YaHei" w:hAnsi="Microsoft YaHei"/>
                <w:sz w:val="18"/>
              </w:rPr>
              <w:t>融券余额</w:t>
            </w:r>
          </w:p>
        </w:tc>
        <w:tc>
          <w:tcPr>
            <w:tcW w:type="dxa" w:w="3022"/>
            <w:shd w:fill="F8F9FA" w:val="clear"/>
          </w:tcPr>
          <w:p>
            <w:pPr>
              <w:spacing w:before="40" w:after="40" w:line="288" w:lineRule="auto"/>
            </w:pPr>
            <w:r/>
            <w:r>
              <w:rPr>
                <w:rFonts w:ascii="Microsoft YaHei" w:hAnsi="Microsoft YaHei"/>
                <w:sz w:val="18"/>
              </w:rPr>
              <w:t>0.54 亿元</w:t>
            </w:r>
          </w:p>
        </w:tc>
        <w:tc>
          <w:tcPr>
            <w:tcW w:type="dxa" w:w="3022"/>
            <w:shd w:fill="F8F9FA" w:val="clear"/>
          </w:tcPr>
          <w:p>
            <w:pPr>
              <w:spacing w:before="40" w:after="40" w:line="288" w:lineRule="auto"/>
            </w:pPr>
            <w:r/>
            <w:r>
              <w:rPr>
                <w:rFonts w:ascii="Microsoft YaHei" w:hAnsi="Microsoft YaHei"/>
                <w:sz w:val="18"/>
              </w:rPr>
              <w:t>-1.61%</w:t>
            </w:r>
          </w:p>
        </w:tc>
      </w:tr>
    </w:tbl>
    <w:p/>
    <w:p>
      <w:pPr>
        <w:spacing w:before="280" w:after="80" w:line="312" w:lineRule="auto"/>
      </w:pPr>
      <w:r>
        <w:rPr>
          <w:rFonts w:ascii="Microsoft YaHei" w:hAnsi="Microsoft YaHei"/>
          <w:b/>
          <w:color w:val="333333"/>
          <w:sz w:val="24"/>
        </w:rPr>
        <w:t>资金面解读</w:t>
      </w:r>
    </w:p>
    <w:p>
      <w:r>
        <w:rPr>
          <w:rFonts w:ascii="Microsoft YaHei" w:hAnsi="Microsoft YaHei"/>
        </w:rPr>
        <w:t>尽管今日净流出3.40亿元，但结合以下两点需深度看待：</w:t>
      </w:r>
    </w:p>
    <w:p>
      <w:pPr>
        <w:pStyle w:val="ListNumber"/>
      </w:pPr>
      <w:r>
        <w:rPr>
          <w:rFonts w:ascii="Microsoft YaHei" w:hAnsi="Microsoft YaHei"/>
          <w:b/>
          <w:color w:val="1A1A1A"/>
        </w:rPr>
        <w:t>放量上涨背景下的净流出</w:t>
      </w:r>
      <w:r>
        <w:rPr>
          <w:rFonts w:ascii="Microsoft YaHei" w:hAnsi="Microsoft YaHei"/>
        </w:rPr>
        <w:t xml:space="preserve">：换手率4.7%（昨日2.68%），成交额高达134.65亿元，净流出占比仅约 </w:t>
      </w:r>
      <w:r>
        <w:rPr>
          <w:rFonts w:ascii="Microsoft YaHei" w:hAnsi="Microsoft YaHei"/>
          <w:b/>
          <w:color w:val="1A1A1A"/>
        </w:rPr>
        <w:t>2.5%</w:t>
      </w:r>
      <w:r>
        <w:rPr>
          <w:rFonts w:ascii="Microsoft YaHei" w:hAnsi="Microsoft YaHei"/>
        </w:rPr>
        <w:t>，说明卖盘被大量买盘消化，承接力度强劲。</w:t>
      </w:r>
    </w:p>
    <w:p>
      <w:pPr>
        <w:pStyle w:val="ListNumber"/>
      </w:pPr>
      <w:r>
        <w:rPr>
          <w:rFonts w:ascii="Microsoft YaHei" w:hAnsi="Microsoft YaHei"/>
          <w:b/>
          <w:color w:val="1A1A1A"/>
        </w:rPr>
        <w:t>盘中异动信号积极</w:t>
      </w:r>
      <w:r>
        <w:rPr>
          <w:rFonts w:ascii="Microsoft YaHei" w:hAnsi="Microsoft YaHei"/>
        </w:rPr>
        <w:t>：监控到</w:t>
      </w:r>
      <w:r>
        <w:rPr>
          <w:rFonts w:ascii="Microsoft YaHei" w:hAnsi="Microsoft YaHei"/>
          <w:b/>
          <w:color w:val="1A1A1A"/>
        </w:rPr>
        <w:t>大买盘5次</w:t>
      </w:r>
      <w:r>
        <w:rPr>
          <w:rFonts w:ascii="Microsoft YaHei" w:hAnsi="Microsoft YaHei"/>
        </w:rPr>
        <w:t>（09:45/09:54/10:58/14:06/14:38），而大卖盘仅1次（09:31），买盘主动性明显占优。</w:t>
      </w:r>
    </w:p>
    <w:p>
      <w:pPr>
        <w:pStyle w:val="ListNumber"/>
      </w:pPr>
      <w:r>
        <w:rPr>
          <w:rFonts w:ascii="Microsoft YaHei" w:hAnsi="Microsoft YaHei"/>
          <w:b/>
          <w:color w:val="1A1A1A"/>
        </w:rPr>
        <w:t>融资余额小幅下降</w:t>
      </w:r>
      <w:r>
        <w:rPr>
          <w:rFonts w:ascii="Microsoft YaHei" w:hAnsi="Microsoft YaHei"/>
        </w:rPr>
        <w:t>：融资余额113.61亿元，较前日降1.31%，显示杠杆资金在板块恐慌中有所撤退，但幅度有限。</w:t>
      </w:r>
    </w:p>
    <w:p>
      <w:r>
        <w:rPr>
          <w:rFonts w:ascii="Microsoft YaHei" w:hAnsi="Microsoft YaHei"/>
        </w:rPr>
        <w:t>此外，根据相关资讯标题显示，</w:t>
      </w:r>
      <w:r>
        <w:rPr>
          <w:rFonts w:ascii="Microsoft YaHei" w:hAnsi="Microsoft YaHei"/>
          <w:b/>
          <w:color w:val="1A1A1A"/>
        </w:rPr>
        <w:t>南下资金净卖出中芯国际</w:t>
      </w:r>
      <w:r>
        <w:rPr>
          <w:rFonts w:ascii="Microsoft YaHei" w:hAnsi="Microsoft YaHei"/>
        </w:rPr>
        <w:t>（港股），但A股这边出现主力逆势承接，形成"港股卖、A股买"的分化格局，资金存在跨市场套利或结构性调仓行为。</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p>
      <w:pPr>
        <w:spacing w:before="280" w:after="80" w:line="312" w:lineRule="auto"/>
      </w:pPr>
      <w:r>
        <w:rPr>
          <w:rFonts w:ascii="Microsoft YaHei" w:hAnsi="Microsoft YaHei"/>
          <w:b/>
          <w:color w:val="333333"/>
          <w:sz w:val="24"/>
        </w:rPr>
        <w:t>均线系统</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当前价偏离度</w:t>
            </w:r>
          </w:p>
        </w:tc>
      </w:tr>
      <w:tr>
        <w:tc>
          <w:tcPr>
            <w:tcW w:type="dxa" w:w="3022"/>
          </w:tcPr>
          <w:p>
            <w:pPr>
              <w:spacing w:before="40" w:after="40" w:line="288" w:lineRule="auto"/>
            </w:pPr>
            <w:r/>
            <w:r>
              <w:rPr>
                <w:rFonts w:ascii="Microsoft YaHei" w:hAnsi="Microsoft YaHei"/>
                <w:b/>
                <w:color w:val="1A1A1A"/>
                <w:sz w:val="18"/>
              </w:rPr>
              <w:t>MA5</w:t>
            </w:r>
          </w:p>
        </w:tc>
        <w:tc>
          <w:tcPr>
            <w:tcW w:type="dxa" w:w="3022"/>
          </w:tcPr>
          <w:p>
            <w:pPr>
              <w:spacing w:before="40" w:after="40" w:line="288" w:lineRule="auto"/>
            </w:pPr>
            <w:r/>
            <w:r>
              <w:rPr>
                <w:rFonts w:ascii="Microsoft YaHei" w:hAnsi="Microsoft YaHei"/>
                <w:b/>
                <w:color w:val="1A1A1A"/>
                <w:sz w:val="18"/>
              </w:rPr>
              <w:t>150.40 元</w:t>
            </w:r>
          </w:p>
        </w:tc>
        <w:tc>
          <w:tcPr>
            <w:tcW w:type="dxa" w:w="3022"/>
          </w:tcPr>
          <w:p>
            <w:pPr>
              <w:spacing w:before="40" w:after="40" w:line="288" w:lineRule="auto"/>
            </w:pPr>
            <w:r/>
            <w:r>
              <w:rPr>
                <w:rFonts w:ascii="Microsoft YaHei" w:hAnsi="Microsoft YaHei"/>
                <w:b/>
                <w:color w:val="1A1A1A"/>
                <w:sz w:val="18"/>
              </w:rPr>
              <w:t>-4.3%（下方）</w:t>
            </w:r>
          </w:p>
        </w:tc>
      </w:tr>
      <w:tr>
        <w:tc>
          <w:tcPr>
            <w:tcW w:type="dxa" w:w="3022"/>
            <w:shd w:fill="F8F9FA" w:val="clear"/>
          </w:tcPr>
          <w:p>
            <w:pPr>
              <w:spacing w:before="40" w:after="40" w:line="288" w:lineRule="auto"/>
            </w:pPr>
            <w:r/>
            <w:r>
              <w:rPr>
                <w:rFonts w:ascii="Microsoft YaHei" w:hAnsi="Microsoft YaHei"/>
                <w:b/>
                <w:color w:val="1A1A1A"/>
                <w:sz w:val="18"/>
              </w:rPr>
              <w:t>MA10</w:t>
            </w:r>
          </w:p>
        </w:tc>
        <w:tc>
          <w:tcPr>
            <w:tcW w:type="dxa" w:w="3022"/>
            <w:shd w:fill="F8F9FA" w:val="clear"/>
          </w:tcPr>
          <w:p>
            <w:pPr>
              <w:spacing w:before="40" w:after="40" w:line="288" w:lineRule="auto"/>
            </w:pPr>
            <w:r/>
            <w:r>
              <w:rPr>
                <w:rFonts w:ascii="Microsoft YaHei" w:hAnsi="Microsoft YaHei"/>
                <w:b/>
                <w:color w:val="1A1A1A"/>
                <w:sz w:val="18"/>
              </w:rPr>
              <w:t>151.87 元</w:t>
            </w:r>
          </w:p>
        </w:tc>
        <w:tc>
          <w:tcPr>
            <w:tcW w:type="dxa" w:w="3022"/>
            <w:shd w:fill="F8F9FA" w:val="clear"/>
          </w:tcPr>
          <w:p>
            <w:pPr>
              <w:spacing w:before="40" w:after="40" w:line="288" w:lineRule="auto"/>
            </w:pPr>
            <w:r/>
            <w:r>
              <w:rPr>
                <w:rFonts w:ascii="Microsoft YaHei" w:hAnsi="Microsoft YaHei"/>
                <w:b/>
                <w:color w:val="1A1A1A"/>
                <w:sz w:val="18"/>
              </w:rPr>
              <w:t>-5.2%（下方）</w:t>
            </w:r>
          </w:p>
        </w:tc>
      </w:tr>
      <w:tr>
        <w:tc>
          <w:tcPr>
            <w:tcW w:type="dxa" w:w="3022"/>
          </w:tcPr>
          <w:p>
            <w:pPr>
              <w:spacing w:before="40" w:after="40" w:line="288" w:lineRule="auto"/>
            </w:pPr>
            <w:r/>
            <w:r>
              <w:rPr>
                <w:rFonts w:ascii="Microsoft YaHei" w:hAnsi="Microsoft YaHei"/>
                <w:b/>
                <w:color w:val="1A1A1A"/>
                <w:sz w:val="18"/>
              </w:rPr>
              <w:t>MA20 / 布林中轨</w:t>
            </w:r>
          </w:p>
        </w:tc>
        <w:tc>
          <w:tcPr>
            <w:tcW w:type="dxa" w:w="3022"/>
          </w:tcPr>
          <w:p>
            <w:pPr>
              <w:spacing w:before="40" w:after="40" w:line="288" w:lineRule="auto"/>
            </w:pPr>
            <w:r/>
            <w:r>
              <w:rPr>
                <w:rFonts w:ascii="Microsoft YaHei" w:hAnsi="Microsoft YaHei"/>
                <w:b/>
                <w:color w:val="1A1A1A"/>
                <w:sz w:val="18"/>
              </w:rPr>
              <w:t>152.12 元</w:t>
            </w:r>
          </w:p>
        </w:tc>
        <w:tc>
          <w:tcPr>
            <w:tcW w:type="dxa" w:w="3022"/>
          </w:tcPr>
          <w:p>
            <w:pPr>
              <w:spacing w:before="40" w:after="40" w:line="288" w:lineRule="auto"/>
            </w:pPr>
            <w:r/>
            <w:r>
              <w:rPr>
                <w:rFonts w:ascii="Microsoft YaHei" w:hAnsi="Microsoft YaHei"/>
                <w:b/>
                <w:color w:val="1A1A1A"/>
                <w:sz w:val="18"/>
              </w:rPr>
              <w:t>-5.3%（下方）</w:t>
            </w:r>
          </w:p>
        </w:tc>
      </w:tr>
      <w:tr>
        <w:tc>
          <w:tcPr>
            <w:tcW w:type="dxa" w:w="3022"/>
            <w:shd w:fill="F8F9FA" w:val="clear"/>
          </w:tcPr>
          <w:p>
            <w:pPr>
              <w:spacing w:before="40" w:after="40" w:line="288" w:lineRule="auto"/>
            </w:pPr>
            <w:r/>
            <w:r>
              <w:rPr>
                <w:rFonts w:ascii="Microsoft YaHei" w:hAnsi="Microsoft YaHei"/>
                <w:sz w:val="18"/>
              </w:rPr>
              <w:t>布林带上轨</w:t>
            </w:r>
          </w:p>
        </w:tc>
        <w:tc>
          <w:tcPr>
            <w:tcW w:type="dxa" w:w="3022"/>
            <w:shd w:fill="F8F9FA" w:val="clear"/>
          </w:tcPr>
          <w:p>
            <w:pPr>
              <w:spacing w:before="40" w:after="40" w:line="288" w:lineRule="auto"/>
            </w:pPr>
            <w:r/>
            <w:r>
              <w:rPr>
                <w:rFonts w:ascii="Microsoft YaHei" w:hAnsi="Microsoft YaHei"/>
                <w:sz w:val="18"/>
              </w:rPr>
              <w:t>168.40 元</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布林带下轨</w:t>
            </w:r>
          </w:p>
        </w:tc>
        <w:tc>
          <w:tcPr>
            <w:tcW w:type="dxa" w:w="3022"/>
          </w:tcPr>
          <w:p>
            <w:pPr>
              <w:spacing w:before="40" w:after="40" w:line="288" w:lineRule="auto"/>
            </w:pPr>
            <w:r/>
            <w:r>
              <w:rPr>
                <w:rFonts w:ascii="Microsoft YaHei" w:hAnsi="Microsoft YaHei"/>
                <w:b/>
                <w:color w:val="1A1A1A"/>
                <w:sz w:val="18"/>
              </w:rPr>
              <w:t>135.84 元</w:t>
            </w:r>
          </w:p>
        </w:tc>
        <w:tc>
          <w:tcPr>
            <w:tcW w:type="dxa" w:w="3022"/>
          </w:tcPr>
          <w:p>
            <w:pPr>
              <w:spacing w:before="40" w:after="40" w:line="288" w:lineRule="auto"/>
            </w:pPr>
            <w:r/>
            <w:r>
              <w:rPr>
                <w:rFonts w:ascii="Microsoft YaHei" w:hAnsi="Microsoft YaHei"/>
                <w:sz w:val="18"/>
              </w:rPr>
              <w:t xml:space="preserve">距当前价 </w:t>
            </w:r>
            <w:r>
              <w:rPr>
                <w:rFonts w:ascii="Microsoft YaHei" w:hAnsi="Microsoft YaHei"/>
                <w:b/>
                <w:color w:val="1A1A1A"/>
                <w:sz w:val="18"/>
              </w:rPr>
              <w:t>+6.0%</w:t>
            </w:r>
          </w:p>
        </w:tc>
      </w:tr>
    </w:tbl>
    <w:p/>
    <w:p>
      <w:pPr>
        <w:spacing w:before="280" w:after="80" w:line="312" w:lineRule="auto"/>
      </w:pPr>
      <w:r>
        <w:rPr>
          <w:rFonts w:ascii="Microsoft YaHei" w:hAnsi="Microsoft YaHei"/>
          <w:b/>
          <w:color w:val="333333"/>
          <w:sz w:val="24"/>
        </w:rPr>
        <w:t>技术面研判</w:t>
      </w:r>
    </w:p>
    <w:p>
      <w:r>
        <w:rPr>
          <w:rFonts w:ascii="Microsoft YaHei" w:hAnsi="Microsoft YaHei"/>
        </w:rPr>
        <w:t>当前价格144.00元全面运行于MA5/MA10/MA20下方，短期均线呈空头排列，技术面形态偏弱。但值得关注的是：</w:t>
      </w:r>
    </w:p>
    <w:p>
      <w:pPr>
        <w:pStyle w:val="ListBullet"/>
      </w:pPr>
      <w:r>
        <w:rPr>
          <w:rFonts w:ascii="Microsoft YaHei" w:hAnsi="Microsoft YaHei"/>
        </w:rPr>
        <w:t xml:space="preserve">股价距布林带下轨135.84元仅约 </w:t>
      </w:r>
      <w:r>
        <w:rPr>
          <w:rFonts w:ascii="Microsoft YaHei" w:hAnsi="Microsoft YaHei"/>
          <w:b/>
          <w:color w:val="1A1A1A"/>
        </w:rPr>
        <w:t>6%空间</w:t>
      </w:r>
      <w:r>
        <w:rPr>
          <w:rFonts w:ascii="Microsoft YaHei" w:hAnsi="Microsoft YaHei"/>
        </w:rPr>
        <w:t>，处于布林带下轨附近，理论上已进入</w:t>
      </w:r>
      <w:r>
        <w:rPr>
          <w:rFonts w:ascii="Microsoft YaHei" w:hAnsi="Microsoft YaHei"/>
          <w:b/>
          <w:color w:val="1A1A1A"/>
        </w:rPr>
        <w:t>超卖区域</w:t>
      </w:r>
      <w:r>
        <w:rPr>
          <w:rFonts w:ascii="Microsoft YaHei" w:hAnsi="Microsoft YaHei"/>
        </w:rPr>
        <w:t>；</w:t>
      </w:r>
    </w:p>
    <w:p>
      <w:pPr>
        <w:pStyle w:val="ListBullet"/>
      </w:pPr>
      <w:r>
        <w:rPr>
          <w:rFonts w:ascii="Microsoft YaHei" w:hAnsi="Microsoft YaHei"/>
        </w:rPr>
        <w:t xml:space="preserve">偏离MA20（152.12元）达 </w:t>
      </w:r>
      <w:r>
        <w:rPr>
          <w:rFonts w:ascii="Microsoft YaHei" w:hAnsi="Microsoft YaHei"/>
          <w:b/>
          <w:color w:val="1A1A1A"/>
        </w:rPr>
        <w:t>-5.3%</w:t>
      </w:r>
      <w:r>
        <w:rPr>
          <w:rFonts w:ascii="Microsoft YaHei" w:hAnsi="Microsoft YaHei"/>
        </w:rPr>
        <w:t>，短期负乖离率较大，存在技术性修复需求；</w:t>
      </w:r>
    </w:p>
    <w:p>
      <w:pPr>
        <w:pStyle w:val="ListBullet"/>
      </w:pPr>
      <w:r>
        <w:rPr>
          <w:rFonts w:ascii="Microsoft YaHei" w:hAnsi="Microsoft YaHei"/>
        </w:rPr>
        <w:t>今日盘中最低探至138.11元后快速反弹，此价位已接近布林带下轨附近，说明下轨具备一定支撑力。</w:t>
      </w:r>
    </w:p>
    <w:p>
      <w:r>
        <w:rPr>
          <w:rFonts w:ascii="Microsoft YaHei" w:hAnsi="Microsoft YaHei"/>
          <w:b/>
          <w:color w:val="1A1A1A"/>
        </w:rPr>
        <w:t>关键观察点</w:t>
      </w:r>
      <w:r>
        <w:rPr>
          <w:rFonts w:ascii="Microsoft YaHei" w:hAnsi="Microsoft YaHei"/>
        </w:rPr>
        <w:t>：若午后继续放量上攻站稳145元（今日开盘价），则短期有望向MA5（150.40元）进行修复；若失守140元关口，则可能向下考验布林带下轨（135.84元）。</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重大利空因素</w:t>
      </w:r>
    </w:p>
    <w:p>
      <w:pPr>
        <w:pStyle w:val="ListNumber"/>
      </w:pPr>
      <w:r>
        <w:rPr>
          <w:rFonts w:ascii="Microsoft YaHei" w:hAnsi="Microsoft YaHei"/>
          <w:b/>
          <w:color w:val="1A1A1A"/>
        </w:rPr>
        <w:t>全球半导体恐慌蔓延</w:t>
      </w:r>
      <w:r>
        <w:rPr>
          <w:rFonts w:ascii="Microsoft YaHei" w:hAnsi="Microsoft YaHei"/>
        </w:rPr>
        <w:t>：隔夜费城半导体指数跌超2%创阶段新低，英伟达跌约5%；韩国KOSPI指数今日暴跌10%，SK海力士跌超13%、三星电子跌逾12%。AI建设巨额融资（英伟达超7500亿美元交易）引发市场对AI需求"人为推高"的担忧。</w:t>
      </w:r>
    </w:p>
    <w:p>
      <w:pPr>
        <w:pStyle w:val="ListNumber"/>
      </w:pPr>
      <w:r>
        <w:rPr>
          <w:rFonts w:ascii="Microsoft YaHei" w:hAnsi="Microsoft YaHei"/>
          <w:b/>
          <w:color w:val="1A1A1A"/>
        </w:rPr>
        <w:t>美股存储板块全线溃退</w:t>
      </w:r>
      <w:r>
        <w:rPr>
          <w:rFonts w:ascii="Microsoft YaHei" w:hAnsi="Microsoft YaHei"/>
        </w:rPr>
        <w:t>：闪迪跌超11%、铠侠ADR较6月底高位回落超57%、SK海力士跌破美股IPO发行价。存储芯片与晶圆代工联动性较强，情绪面承压。</w:t>
      </w:r>
    </w:p>
    <w:p>
      <w:pPr>
        <w:pStyle w:val="ListNumber"/>
      </w:pPr>
      <w:r>
        <w:rPr>
          <w:rFonts w:ascii="Microsoft YaHei" w:hAnsi="Microsoft YaHei"/>
          <w:b/>
          <w:color w:val="1A1A1A"/>
        </w:rPr>
        <w:t>创业板指暴跌</w:t>
      </w:r>
      <w:r>
        <w:rPr>
          <w:rFonts w:ascii="Microsoft YaHei" w:hAnsi="Microsoft YaHei"/>
        </w:rPr>
        <w:t>：今日早盘创业板指一度跌逾6%，算力硬件、半导体芯片方向跌幅居前，系统性风险传导明显。</w:t>
      </w:r>
    </w:p>
    <w:p>
      <w:pPr>
        <w:spacing w:before="280" w:after="80" w:line="312" w:lineRule="auto"/>
      </w:pPr>
      <w:r>
        <w:rPr>
          <w:rFonts w:ascii="Microsoft YaHei" w:hAnsi="Microsoft YaHei"/>
          <w:b/>
          <w:color w:val="333333"/>
          <w:sz w:val="24"/>
        </w:rPr>
        <w:t>潜在利好支撑</w:t>
      </w:r>
    </w:p>
    <w:p>
      <w:pPr>
        <w:pStyle w:val="ListNumber"/>
      </w:pPr>
      <w:r>
        <w:rPr>
          <w:rFonts w:ascii="Microsoft YaHei" w:hAnsi="Microsoft YaHei"/>
          <w:b/>
          <w:color w:val="1A1A1A"/>
        </w:rPr>
        <w:t>长鑫科技上市引爆国产替代情绪</w:t>
      </w:r>
      <w:r>
        <w:rPr>
          <w:rFonts w:ascii="Microsoft YaHei" w:hAnsi="Microsoft YaHei"/>
        </w:rPr>
        <w:t>：7月27日长鑫科技登陆科创板，首日暴涨465.82%，总市值超3.28万亿超越工商银行成为A股"市值一哥"，日成交额超1400亿创历史纪录。这一事件</w:t>
      </w:r>
      <w:r>
        <w:rPr>
          <w:rFonts w:ascii="Microsoft YaHei" w:hAnsi="Microsoft YaHei"/>
          <w:b/>
          <w:color w:val="1A1A1A"/>
        </w:rPr>
        <w:t>极大提振了国产半导体板块的关注度和做多热情</w:t>
      </w:r>
      <w:r>
        <w:rPr>
          <w:rFonts w:ascii="Microsoft YaHei" w:hAnsi="Microsoft YaHei"/>
        </w:rPr>
        <w:t>，中芯国际作为晶圆代工龙头直接受益于国产替代逻辑的强化。</w:t>
      </w:r>
    </w:p>
    <w:p>
      <w:pPr>
        <w:pStyle w:val="ListNumber"/>
      </w:pPr>
      <w:r>
        <w:rPr>
          <w:rFonts w:ascii="Microsoft YaHei" w:hAnsi="Microsoft YaHei"/>
          <w:b/>
          <w:color w:val="1A1A1A"/>
        </w:rPr>
        <w:t>美方制裁威胁强化"自主可控"逻辑</w:t>
      </w:r>
      <w:r>
        <w:rPr>
          <w:rFonts w:ascii="Microsoft YaHei" w:hAnsi="Microsoft YaHei"/>
        </w:rPr>
        <w:t>：美国宣称拟对中国AI企业开展调查并实施制裁，商务部回应称这是"人工智能霸权主义行径"。外部压力持续升级背景下，国产晶圆制造龙头中芯国际的战略地位进一步凸显。</w:t>
      </w:r>
    </w:p>
    <w:p>
      <w:pPr>
        <w:pStyle w:val="ListNumber"/>
      </w:pPr>
      <w:r>
        <w:rPr>
          <w:rFonts w:ascii="Microsoft YaHei" w:hAnsi="Microsoft YaHei"/>
          <w:b/>
          <w:color w:val="1A1A1A"/>
        </w:rPr>
        <w:t>光刻机国产突围持续推进</w:t>
      </w:r>
      <w:r>
        <w:rPr>
          <w:rFonts w:ascii="Microsoft YaHei" w:hAnsi="Microsoft YaHei"/>
        </w:rPr>
        <w:t>：相关报道显示浸没式DUV光刻机已启动小批量制造，国产半导体设备/材料产业链进入加速突破期，利好中芯国际长期产能升级。</w:t>
      </w:r>
    </w:p>
    <w:p>
      <w:pPr>
        <w:spacing w:before="280" w:after="80" w:line="312" w:lineRule="auto"/>
      </w:pPr>
      <w:r>
        <w:rPr>
          <w:rFonts w:ascii="Microsoft YaHei" w:hAnsi="Microsoft YaHei"/>
          <w:b/>
          <w:color w:val="333333"/>
          <w:sz w:val="24"/>
        </w:rPr>
        <w:t>互动/公告提示</w:t>
      </w:r>
    </w:p>
    <w:p>
      <w:r>
        <w:rPr>
          <w:rFonts w:ascii="Microsoft YaHei" w:hAnsi="Microsoft YaHei"/>
        </w:rPr>
        <w:t xml:space="preserve">中芯国际2026年半年度报告的预约披露时间为 </w:t>
      </w:r>
      <w:r>
        <w:rPr>
          <w:rFonts w:ascii="Microsoft YaHei" w:hAnsi="Microsoft YaHei"/>
          <w:b/>
          <w:color w:val="1A1A1A"/>
        </w:rPr>
        <w:t>8月28日</w:t>
      </w:r>
      <w:r>
        <w:rPr>
          <w:rFonts w:ascii="Microsoft YaHei" w:hAnsi="Microsoft YaHei"/>
        </w:rPr>
        <w:t>，目前处于财报静默期前的关键窗口。</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涨幅</w:t>
            </w:r>
          </w:p>
        </w:tc>
        <w:tc>
          <w:tcPr>
            <w:tcW w:type="dxa" w:w="2266"/>
            <w:shd w:fill="F6F8FA" w:val="clear"/>
          </w:tcPr>
          <w:p>
            <w:pPr>
              <w:spacing w:before="40" w:after="40" w:line="288" w:lineRule="auto"/>
            </w:pPr>
            <w:r/>
            <w:r>
              <w:rPr>
                <w:rFonts w:ascii="Microsoft YaHei" w:hAnsi="Microsoft YaHei"/>
                <w:b/>
                <w:color w:val="1A1A1A"/>
                <w:sz w:val="18"/>
              </w:rPr>
              <w:t>全市场排名</w:t>
            </w:r>
          </w:p>
        </w:tc>
        <w:tc>
          <w:tcPr>
            <w:tcW w:type="dxa" w:w="2266"/>
            <w:shd w:fill="F6F8FA" w:val="clear"/>
          </w:tcPr>
          <w:p>
            <w:pPr>
              <w:spacing w:before="40" w:after="40" w:line="288" w:lineRule="auto"/>
            </w:pPr>
            <w:r/>
            <w:r>
              <w:rPr>
                <w:rFonts w:ascii="Microsoft YaHei" w:hAnsi="Microsoft YaHei"/>
                <w:b/>
                <w:color w:val="1A1A1A"/>
                <w:sz w:val="18"/>
              </w:rPr>
              <w:t>中芯国际排名</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75/1158</w:t>
            </w:r>
          </w:p>
        </w:tc>
        <w:tc>
          <w:tcPr>
            <w:tcW w:type="dxa" w:w="2266"/>
          </w:tcPr>
          <w:p>
            <w:pPr>
              <w:spacing w:before="40" w:after="40" w:line="288" w:lineRule="auto"/>
            </w:pPr>
            <w:r/>
            <w:r>
              <w:rPr>
                <w:rFonts w:ascii="Microsoft YaHei" w:hAnsi="Microsoft YaHei"/>
                <w:sz w:val="18"/>
              </w:rPr>
              <w:t>111/319</w:t>
            </w:r>
          </w:p>
        </w:tc>
      </w:tr>
      <w:tr>
        <w:tc>
          <w:tcPr>
            <w:tcW w:type="dxa" w:w="2266"/>
            <w:shd w:fill="F8F9FA" w:val="clear"/>
          </w:tcPr>
          <w:p>
            <w:pPr>
              <w:spacing w:before="40" w:after="40" w:line="288" w:lineRule="auto"/>
            </w:pPr>
            <w:r/>
            <w:r>
              <w:rPr>
                <w:rFonts w:ascii="Microsoft YaHei" w:hAnsi="Microsoft YaHei"/>
                <w:sz w:val="18"/>
              </w:rPr>
              <w:t>上证50样本股</w:t>
            </w:r>
          </w:p>
        </w:tc>
        <w:tc>
          <w:tcPr>
            <w:tcW w:type="dxa" w:w="2266"/>
            <w:shd w:fill="F8F9FA" w:val="clear"/>
          </w:tcPr>
          <w:p>
            <w:pPr>
              <w:spacing w:before="40" w:after="40" w:line="288" w:lineRule="auto"/>
            </w:pPr>
            <w:r/>
            <w:r>
              <w:rPr>
                <w:rFonts w:ascii="Microsoft YaHei" w:hAnsi="Microsoft YaHei"/>
                <w:b/>
                <w:color w:val="1A1A1A"/>
                <w:sz w:val="18"/>
              </w:rPr>
              <w:t>+3.11%</w:t>
            </w:r>
          </w:p>
        </w:tc>
        <w:tc>
          <w:tcPr>
            <w:tcW w:type="dxa" w:w="2266"/>
            <w:shd w:fill="F8F9FA" w:val="clear"/>
          </w:tcPr>
          <w:p>
            <w:pPr>
              <w:spacing w:before="40" w:after="40" w:line="288" w:lineRule="auto"/>
            </w:pPr>
            <w:r/>
            <w:r>
              <w:rPr>
                <w:rFonts w:ascii="Microsoft YaHei" w:hAnsi="Microsoft YaHei"/>
                <w:sz w:val="18"/>
              </w:rPr>
              <w:t>35/1158</w:t>
            </w:r>
          </w:p>
        </w:tc>
        <w:tc>
          <w:tcPr>
            <w:tcW w:type="dxa" w:w="2266"/>
            <w:shd w:fill="F8F9FA" w:val="clear"/>
          </w:tcPr>
          <w:p>
            <w:pPr>
              <w:spacing w:before="40" w:after="40" w:line="288" w:lineRule="auto"/>
            </w:pPr>
            <w:r/>
            <w:r>
              <w:rPr>
                <w:rFonts w:ascii="Microsoft YaHei" w:hAnsi="Microsoft YaHei"/>
                <w:sz w:val="18"/>
              </w:rPr>
              <w:t>33/55</w:t>
            </w:r>
          </w:p>
        </w:tc>
      </w:tr>
      <w:tr>
        <w:tc>
          <w:tcPr>
            <w:tcW w:type="dxa" w:w="2266"/>
          </w:tcPr>
          <w:p>
            <w:pPr>
              <w:spacing w:before="40" w:after="40" w:line="288" w:lineRule="auto"/>
            </w:pPr>
            <w:r/>
            <w:r>
              <w:rPr>
                <w:rFonts w:ascii="Microsoft YaHei" w:hAnsi="Microsoft YaHei"/>
                <w:sz w:val="18"/>
              </w:rPr>
              <w:t>上证180成份股</w:t>
            </w:r>
          </w:p>
        </w:tc>
        <w:tc>
          <w:tcPr>
            <w:tcW w:type="dxa" w:w="2266"/>
          </w:tcPr>
          <w:p>
            <w:pPr>
              <w:spacing w:before="40" w:after="40" w:line="288" w:lineRule="auto"/>
            </w:pPr>
            <w:r/>
            <w:r>
              <w:rPr>
                <w:rFonts w:ascii="Microsoft YaHei" w:hAnsi="Microsoft YaHei"/>
                <w:b/>
                <w:color w:val="1A1A1A"/>
                <w:sz w:val="18"/>
              </w:rPr>
              <w:t>+1.79%</w:t>
            </w:r>
          </w:p>
        </w:tc>
        <w:tc>
          <w:tcPr>
            <w:tcW w:type="dxa" w:w="2266"/>
          </w:tcPr>
          <w:p>
            <w:pPr>
              <w:spacing w:before="40" w:after="40" w:line="288" w:lineRule="auto"/>
            </w:pPr>
            <w:r/>
            <w:r>
              <w:rPr>
                <w:rFonts w:ascii="Microsoft YaHei" w:hAnsi="Microsoft YaHei"/>
                <w:sz w:val="18"/>
              </w:rPr>
              <w:t>62/1158</w:t>
            </w:r>
          </w:p>
        </w:tc>
        <w:tc>
          <w:tcPr>
            <w:tcW w:type="dxa" w:w="2266"/>
          </w:tcPr>
          <w:p>
            <w:pPr>
              <w:spacing w:before="40" w:after="40" w:line="288" w:lineRule="auto"/>
            </w:pPr>
            <w:r/>
            <w:r>
              <w:rPr>
                <w:rFonts w:ascii="Microsoft YaHei" w:hAnsi="Microsoft YaHei"/>
                <w:sz w:val="18"/>
              </w:rPr>
              <w:t>67/197</w:t>
            </w:r>
          </w:p>
        </w:tc>
      </w:tr>
      <w:tr>
        <w:tc>
          <w:tcPr>
            <w:tcW w:type="dxa" w:w="2266"/>
            <w:shd w:fill="F8F9FA" w:val="clear"/>
          </w:tcPr>
          <w:p>
            <w:pPr>
              <w:spacing w:before="40" w:after="40" w:line="288" w:lineRule="auto"/>
            </w:pPr>
            <w:r/>
            <w:r>
              <w:rPr>
                <w:rFonts w:ascii="Microsoft YaHei" w:hAnsi="Microsoft YaHei"/>
                <w:sz w:val="18"/>
              </w:rPr>
              <w:t>半导体产品与设备Ⅱ</w:t>
            </w:r>
          </w:p>
        </w:tc>
        <w:tc>
          <w:tcPr>
            <w:tcW w:type="dxa" w:w="2266"/>
            <w:shd w:fill="F8F9FA" w:val="clear"/>
          </w:tcPr>
          <w:p>
            <w:pPr>
              <w:spacing w:before="40" w:after="40" w:line="288" w:lineRule="auto"/>
            </w:pPr>
            <w:r/>
            <w:r>
              <w:rPr>
                <w:rFonts w:ascii="Microsoft YaHei" w:hAnsi="Microsoft YaHei"/>
                <w:b/>
                <w:color w:val="1A1A1A"/>
                <w:sz w:val="18"/>
              </w:rPr>
              <w:t>-5.27%</w:t>
            </w:r>
          </w:p>
        </w:tc>
        <w:tc>
          <w:tcPr>
            <w:tcW w:type="dxa" w:w="2266"/>
            <w:shd w:fill="F8F9FA" w:val="clear"/>
          </w:tcPr>
          <w:p>
            <w:pPr>
              <w:spacing w:before="40" w:after="40" w:line="288" w:lineRule="auto"/>
            </w:pPr>
            <w:r/>
            <w:r>
              <w:rPr>
                <w:rFonts w:ascii="Microsoft YaHei" w:hAnsi="Microsoft YaHei"/>
                <w:sz w:val="18"/>
              </w:rPr>
              <w:t>1057/1158</w:t>
            </w:r>
          </w:p>
        </w:tc>
        <w:tc>
          <w:tcPr>
            <w:tcW w:type="dxa" w:w="2266"/>
            <w:shd w:fill="F8F9FA" w:val="clear"/>
          </w:tcPr>
          <w:p>
            <w:pPr>
              <w:spacing w:before="40" w:after="40" w:line="288" w:lineRule="auto"/>
            </w:pPr>
            <w:r/>
            <w:r>
              <w:rPr>
                <w:rFonts w:ascii="Microsoft YaHei" w:hAnsi="Microsoft YaHei"/>
                <w:b/>
                <w:color w:val="1A1A1A"/>
                <w:sz w:val="18"/>
              </w:rPr>
              <w:t>18/207</w:t>
            </w:r>
          </w:p>
        </w:tc>
      </w:tr>
      <w:tr>
        <w:tc>
          <w:tcPr>
            <w:tcW w:type="dxa" w:w="2266"/>
          </w:tcPr>
          <w:p>
            <w:pPr>
              <w:spacing w:before="40" w:after="40" w:line="288" w:lineRule="auto"/>
            </w:pPr>
            <w:r/>
            <w:r>
              <w:rPr>
                <w:rFonts w:ascii="Microsoft YaHei" w:hAnsi="Microsoft YaHei"/>
                <w:sz w:val="18"/>
              </w:rPr>
              <w:t>信息技术(A股)</w:t>
            </w:r>
          </w:p>
        </w:tc>
        <w:tc>
          <w:tcPr>
            <w:tcW w:type="dxa" w:w="2266"/>
          </w:tcPr>
          <w:p>
            <w:pPr>
              <w:spacing w:before="40" w:after="40" w:line="288" w:lineRule="auto"/>
            </w:pPr>
            <w:r/>
            <w:r>
              <w:rPr>
                <w:rFonts w:ascii="Microsoft YaHei" w:hAnsi="Microsoft YaHei"/>
                <w:b/>
                <w:color w:val="1A1A1A"/>
                <w:sz w:val="18"/>
              </w:rPr>
              <w:t>-4.13%</w:t>
            </w:r>
          </w:p>
        </w:tc>
        <w:tc>
          <w:tcPr>
            <w:tcW w:type="dxa" w:w="2266"/>
          </w:tcPr>
          <w:p>
            <w:pPr>
              <w:spacing w:before="40" w:after="40" w:line="288" w:lineRule="auto"/>
            </w:pPr>
            <w:r/>
            <w:r>
              <w:rPr>
                <w:rFonts w:ascii="Microsoft YaHei" w:hAnsi="Microsoft YaHei"/>
                <w:sz w:val="18"/>
              </w:rPr>
              <w:t>962/1158</w:t>
            </w:r>
          </w:p>
        </w:tc>
        <w:tc>
          <w:tcPr>
            <w:tcW w:type="dxa" w:w="2266"/>
          </w:tcPr>
          <w:p>
            <w:pPr>
              <w:spacing w:before="40" w:after="40" w:line="288" w:lineRule="auto"/>
            </w:pPr>
            <w:r/>
            <w:r>
              <w:rPr>
                <w:rFonts w:ascii="Microsoft YaHei" w:hAnsi="Microsoft YaHei"/>
                <w:sz w:val="18"/>
              </w:rPr>
              <w:t>105/1217</w:t>
            </w:r>
          </w:p>
        </w:tc>
      </w:tr>
    </w:tbl>
    <w:p/>
    <w:p>
      <w:r>
        <w:rPr>
          <w:rFonts w:ascii="Microsoft YaHei" w:hAnsi="Microsoft YaHei"/>
          <w:b/>
          <w:color w:val="1A1A1A"/>
        </w:rPr>
        <w:t>板块关联分析</w:t>
      </w:r>
      <w:r>
        <w:rPr>
          <w:rFonts w:ascii="Microsoft YaHei" w:hAnsi="Microsoft YaHei"/>
        </w:rPr>
        <w:t>：</w:t>
      </w:r>
    </w:p>
    <w:p>
      <w:r>
        <w:rPr>
          <w:rFonts w:ascii="Microsoft YaHei" w:hAnsi="Microsoft YaHei"/>
        </w:rPr>
        <w:t xml:space="preserve">中芯国际作为上证50/沪深300权重股，在大盘权重股普遍走强的环境下（上证50涨+3.11%，中国海油涨停、中国石油涨7%），获得了指数基金配置的天然支撑。而在所属的半导体板块（-5.27%）和信息技术板块（-4.13%）中，中芯国际分别排名 </w:t>
      </w:r>
      <w:r>
        <w:rPr>
          <w:rFonts w:ascii="Microsoft YaHei" w:hAnsi="Microsoft YaHei"/>
          <w:b/>
          <w:color w:val="1A1A1A"/>
        </w:rPr>
        <w:t>18/207</w:t>
      </w:r>
      <w:r>
        <w:rPr>
          <w:rFonts w:ascii="Microsoft YaHei" w:hAnsi="Microsoft YaHei"/>
        </w:rPr>
        <w:t xml:space="preserve"> 和 </w:t>
      </w:r>
      <w:r>
        <w:rPr>
          <w:rFonts w:ascii="Microsoft YaHei" w:hAnsi="Microsoft YaHei"/>
          <w:b/>
          <w:color w:val="1A1A1A"/>
        </w:rPr>
        <w:t>105/1217</w:t>
      </w:r>
      <w:r>
        <w:rPr>
          <w:rFonts w:ascii="Microsoft YaHei" w:hAnsi="Microsoft YaHei"/>
        </w:rPr>
        <w:t>，均处于板块前列，显示出明显的</w:t>
      </w:r>
      <w:r>
        <w:rPr>
          <w:rFonts w:ascii="Microsoft YaHei" w:hAnsi="Microsoft YaHei"/>
          <w:b/>
          <w:color w:val="1A1A1A"/>
        </w:rPr>
        <w:t>龙头溢价效应</w:t>
      </w:r>
      <w:r>
        <w:rPr>
          <w:rFonts w:ascii="Microsoft YaHei" w:hAnsi="Microsoft YaHei"/>
        </w:rPr>
        <w:t>——资金在恐慌中选择向确定性最高的龙头集中。</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p>
      <w:pPr>
        <w:spacing w:before="280" w:after="80" w:line="312" w:lineRule="auto"/>
      </w:pPr>
      <w:r>
        <w:rPr>
          <w:rFonts w:ascii="Microsoft YaHei" w:hAnsi="Microsoft YaHei"/>
          <w:b/>
          <w:color w:val="333333"/>
          <w:sz w:val="24"/>
        </w:rPr>
        <w:t>主力观点</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评级</w:t>
            </w:r>
          </w:p>
        </w:tc>
        <w:tc>
          <w:tcPr>
            <w:tcW w:type="dxa" w:w="3022"/>
            <w:shd w:fill="F6F8FA" w:val="clear"/>
          </w:tcPr>
          <w:p>
            <w:pPr>
              <w:spacing w:before="40" w:after="40" w:line="288" w:lineRule="auto"/>
            </w:pPr>
            <w:r/>
            <w:r>
              <w:rPr>
                <w:rFonts w:ascii="Microsoft YaHei" w:hAnsi="Microsoft YaHei"/>
                <w:b/>
                <w:color w:val="1A1A1A"/>
                <w:sz w:val="18"/>
              </w:rPr>
              <w:t>核心逻辑</w:t>
            </w:r>
          </w:p>
        </w:tc>
      </w:tr>
      <w:tr>
        <w:tc>
          <w:tcPr>
            <w:tcW w:type="dxa" w:w="3022"/>
          </w:tcPr>
          <w:p>
            <w:pPr>
              <w:spacing w:before="40" w:after="40" w:line="288" w:lineRule="auto"/>
            </w:pPr>
            <w:r/>
            <w:r>
              <w:rPr>
                <w:rFonts w:ascii="Microsoft YaHei" w:hAnsi="Microsoft YaHei"/>
                <w:sz w:val="18"/>
              </w:rPr>
              <w:t>短期趋势</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震荡偏弱</w:t>
            </w:r>
          </w:p>
        </w:tc>
        <w:tc>
          <w:tcPr>
            <w:tcW w:type="dxa" w:w="3022"/>
          </w:tcPr>
          <w:p>
            <w:pPr>
              <w:spacing w:before="40" w:after="40" w:line="288" w:lineRule="auto"/>
            </w:pPr>
            <w:r/>
            <w:r>
              <w:rPr>
                <w:rFonts w:ascii="Microsoft YaHei" w:hAnsi="Microsoft YaHei"/>
                <w:sz w:val="18"/>
              </w:rPr>
              <w:t>技术面空头排列，外围恐慌未消，但144元附近承接强劲</w:t>
            </w:r>
          </w:p>
        </w:tc>
      </w:tr>
      <w:tr>
        <w:tc>
          <w:tcPr>
            <w:tcW w:type="dxa" w:w="3022"/>
            <w:shd w:fill="F8F9FA" w:val="clear"/>
          </w:tcPr>
          <w:p>
            <w:pPr>
              <w:spacing w:before="40" w:after="40" w:line="288" w:lineRule="auto"/>
            </w:pPr>
            <w:r/>
            <w:r>
              <w:rPr>
                <w:rFonts w:ascii="Microsoft YaHei" w:hAnsi="Microsoft YaHei"/>
                <w:sz w:val="18"/>
              </w:rPr>
              <w:t>中期逻辑</w:t>
            </w:r>
          </w:p>
        </w:tc>
        <w:tc>
          <w:tcPr>
            <w:tcW w:type="dxa" w:w="3022"/>
            <w:shd w:fill="F8F9FA" w:val="clear"/>
          </w:tcPr>
          <w:p>
            <w:pPr>
              <w:spacing w:before="40" w:after="40" w:line="288" w:lineRule="auto"/>
            </w:pPr>
            <w:r/>
            <w:r>
              <w:rPr>
                <w:rFonts w:ascii="Microsoft YaHei" w:hAnsi="Microsoft YaHei"/>
                <w:sz w:val="18"/>
              </w:rPr>
              <w:t xml:space="preserve">✅ </w:t>
            </w:r>
            <w:r>
              <w:rPr>
                <w:rFonts w:ascii="Microsoft YaHei" w:hAnsi="Microsoft YaHei"/>
                <w:b/>
                <w:color w:val="1A1A1A"/>
                <w:sz w:val="18"/>
              </w:rPr>
              <w:t>看好</w:t>
            </w:r>
          </w:p>
        </w:tc>
        <w:tc>
          <w:tcPr>
            <w:tcW w:type="dxa" w:w="3022"/>
            <w:shd w:fill="F8F9FA" w:val="clear"/>
          </w:tcPr>
          <w:p>
            <w:pPr>
              <w:spacing w:before="40" w:after="40" w:line="288" w:lineRule="auto"/>
            </w:pPr>
            <w:r/>
            <w:r>
              <w:rPr>
                <w:rFonts w:ascii="Microsoft YaHei" w:hAnsi="Microsoft YaHei"/>
                <w:sz w:val="18"/>
              </w:rPr>
              <w:t>国产替代主线持续强化，晶圆代工龙头战略地位不可替代</w:t>
            </w:r>
          </w:p>
        </w:tc>
      </w:tr>
      <w:tr>
        <w:tc>
          <w:tcPr>
            <w:tcW w:type="dxa" w:w="3022"/>
          </w:tcPr>
          <w:p>
            <w:pPr>
              <w:spacing w:before="40" w:after="40" w:line="288" w:lineRule="auto"/>
            </w:pPr>
            <w:r/>
            <w:r>
              <w:rPr>
                <w:rFonts w:ascii="Microsoft YaHei" w:hAnsi="Microsoft YaHei"/>
                <w:sz w:val="18"/>
              </w:rPr>
              <w:t>资金态度</w:t>
            </w:r>
          </w:p>
        </w:tc>
        <w:tc>
          <w:tcPr>
            <w:tcW w:type="dxa" w:w="3022"/>
          </w:tcPr>
          <w:p>
            <w:pPr>
              <w:spacing w:before="40" w:after="40" w:line="288" w:lineRule="auto"/>
            </w:pPr>
            <w:r/>
            <w:r>
              <w:rPr>
                <w:rFonts w:ascii="Microsoft YaHei" w:hAnsi="Microsoft YaHei"/>
                <w:sz w:val="18"/>
              </w:rPr>
              <w:t xml:space="preserve">🔄 </w:t>
            </w:r>
            <w:r>
              <w:rPr>
                <w:rFonts w:ascii="Microsoft YaHei" w:hAnsi="Microsoft YaHei"/>
                <w:b/>
                <w:color w:val="1A1A1A"/>
                <w:sz w:val="18"/>
              </w:rPr>
              <w:t>分歧加大</w:t>
            </w:r>
          </w:p>
        </w:tc>
        <w:tc>
          <w:tcPr>
            <w:tcW w:type="dxa" w:w="3022"/>
          </w:tcPr>
          <w:p>
            <w:pPr>
              <w:spacing w:before="40" w:after="40" w:line="288" w:lineRule="auto"/>
            </w:pPr>
            <w:r/>
            <w:r>
              <w:rPr>
                <w:rFonts w:ascii="Microsoft YaHei" w:hAnsi="Microsoft YaHei"/>
                <w:sz w:val="18"/>
              </w:rPr>
              <w:t>净流出3.4亿但与放量上涨并存，大买盘5次说明有主力建仓</w:t>
            </w:r>
          </w:p>
        </w:tc>
      </w:tr>
      <w:tr>
        <w:tc>
          <w:tcPr>
            <w:tcW w:type="dxa" w:w="3022"/>
            <w:shd w:fill="F8F9FA" w:val="clear"/>
          </w:tcPr>
          <w:p>
            <w:pPr>
              <w:spacing w:before="40" w:after="40" w:line="288" w:lineRule="auto"/>
            </w:pPr>
            <w:r/>
            <w:r>
              <w:rPr>
                <w:rFonts w:ascii="Microsoft YaHei" w:hAnsi="Microsoft YaHei"/>
                <w:sz w:val="18"/>
              </w:rPr>
              <w:t>板块联动</w:t>
            </w:r>
          </w:p>
        </w:tc>
        <w:tc>
          <w:tcPr>
            <w:tcW w:type="dxa" w:w="3022"/>
            <w:shd w:fill="F8F9FA" w:val="clear"/>
          </w:tcPr>
          <w:p>
            <w:pPr>
              <w:spacing w:before="40" w:after="40" w:line="288" w:lineRule="auto"/>
            </w:pPr>
            <w:r/>
            <w:r>
              <w:rPr>
                <w:rFonts w:ascii="Microsoft YaHei" w:hAnsi="Microsoft YaHei"/>
                <w:sz w:val="18"/>
              </w:rPr>
              <w:t xml:space="preserve">✅ </w:t>
            </w:r>
            <w:r>
              <w:rPr>
                <w:rFonts w:ascii="Microsoft YaHei" w:hAnsi="Microsoft YaHei"/>
                <w:b/>
                <w:color w:val="1A1A1A"/>
                <w:sz w:val="18"/>
              </w:rPr>
              <w:t>逆势领涨</w:t>
            </w:r>
          </w:p>
        </w:tc>
        <w:tc>
          <w:tcPr>
            <w:tcW w:type="dxa" w:w="3022"/>
            <w:shd w:fill="F8F9FA" w:val="clear"/>
          </w:tcPr>
          <w:p>
            <w:pPr>
              <w:spacing w:before="40" w:after="40" w:line="288" w:lineRule="auto"/>
            </w:pPr>
            <w:r/>
            <w:r>
              <w:rPr>
                <w:rFonts w:ascii="Microsoft YaHei" w:hAnsi="Microsoft YaHei"/>
                <w:sz w:val="18"/>
              </w:rPr>
              <w:t>板块暴跌中逆势翻红，龙头溢价效应显著</w:t>
            </w:r>
          </w:p>
        </w:tc>
      </w:tr>
    </w:tbl>
    <w:p/>
    <w:p>
      <w:pPr>
        <w:spacing w:before="280" w:after="80" w:line="312" w:lineRule="auto"/>
      </w:pPr>
      <w:r>
        <w:rPr>
          <w:rFonts w:ascii="Microsoft YaHei" w:hAnsi="Microsoft YaHei"/>
          <w:b/>
          <w:color w:val="333333"/>
          <w:sz w:val="24"/>
        </w:rPr>
        <w:t>核心结论</w:t>
      </w:r>
    </w:p>
    <w:p>
      <w:pPr>
        <w:pStyle w:val="ListNumber"/>
      </w:pPr>
      <w:r>
        <w:rPr>
          <w:rFonts w:ascii="Microsoft YaHei" w:hAnsi="Microsoft YaHei"/>
          <w:b/>
          <w:color w:val="1A1A1A"/>
        </w:rPr>
        <w:t>"强于大盘、强于板块"是今日最核心的信号</w:t>
      </w:r>
      <w:r>
        <w:rPr>
          <w:rFonts w:ascii="Microsoft YaHei" w:hAnsi="Microsoft YaHei"/>
        </w:rPr>
        <w:t>。在全球半导体遭遇系统性抛售的背景下，中芯国际逆势上涨+2.95%，振幅6.69%且收于均价附近，说明主力资金在借恐慌完成</w:t>
      </w:r>
      <w:r>
        <w:rPr>
          <w:rFonts w:ascii="Microsoft YaHei" w:hAnsi="Microsoft YaHei"/>
          <w:b/>
          <w:color w:val="1A1A1A"/>
        </w:rPr>
        <w:t>换手吸筹</w:t>
      </w:r>
      <w:r>
        <w:rPr>
          <w:rFonts w:ascii="Microsoft YaHei" w:hAnsi="Microsoft YaHei"/>
        </w:rPr>
        <w:t>。</w:t>
      </w:r>
    </w:p>
    <w:p>
      <w:pPr>
        <w:pStyle w:val="ListNumber"/>
      </w:pPr>
      <w:r>
        <w:rPr>
          <w:rFonts w:ascii="Microsoft YaHei" w:hAnsi="Microsoft YaHei"/>
          <w:b/>
          <w:color w:val="1A1A1A"/>
        </w:rPr>
        <w:t>量价关系偏积极</w:t>
      </w:r>
      <w:r>
        <w:rPr>
          <w:rFonts w:ascii="Microsoft YaHei" w:hAnsi="Microsoft YaHei"/>
        </w:rPr>
        <w:t>：放量1.75倍的同时股价收涨，大买盘频率远超大卖盘（5:1），资金博弈结果指向多方占优。</w:t>
      </w:r>
    </w:p>
    <w:p>
      <w:pPr>
        <w:pStyle w:val="ListNumber"/>
      </w:pPr>
      <w:r>
        <w:rPr>
          <w:rFonts w:ascii="Microsoft YaHei" w:hAnsi="Microsoft YaHei"/>
          <w:b/>
          <w:color w:val="1A1A1A"/>
        </w:rPr>
        <w:t>国产替代催化剂密集</w:t>
      </w:r>
      <w:r>
        <w:rPr>
          <w:rFonts w:ascii="Microsoft YaHei" w:hAnsi="Microsoft YaHei"/>
        </w:rPr>
        <w:t>：长鑫科技IPO引爆国产半导体关注度、美国制裁威胁强化自主可控逻辑、光刻机国产化突破持续推进，三重催化剂为中期估值提供支撑。</w:t>
      </w:r>
    </w:p>
    <w:p>
      <w:pPr>
        <w:pStyle w:val="ListNumber"/>
      </w:pPr>
      <w:r>
        <w:rPr>
          <w:rFonts w:ascii="Microsoft YaHei" w:hAnsi="Microsoft YaHei"/>
          <w:b/>
          <w:color w:val="1A1A1A"/>
        </w:rPr>
        <w:t>风险点不可忽视</w:t>
      </w:r>
      <w:r>
        <w:rPr>
          <w:rFonts w:ascii="Microsoft YaHei" w:hAnsi="Microsoft YaHei"/>
        </w:rPr>
        <w:t>：全球AI硬件估值回调尚未结束，费城半导体指数持续新低可能继续压制板块情绪；融资余额连续下降反映杠杆资金态度谨慎；技术面短期空头排列需要时间修复。</w:t>
      </w:r>
    </w:p>
    <w:p>
      <w:r>
        <w:rPr>
          <w:rFonts w:ascii="Microsoft YaHei" w:hAnsi="Microsoft YaHei"/>
          <w:b/>
          <w:color w:val="1A1A1A"/>
        </w:rPr>
        <w:t>综合研判</w:t>
      </w:r>
      <w:r>
        <w:rPr>
          <w:rFonts w:ascii="Microsoft YaHei" w:hAnsi="Microsoft YaHei"/>
        </w:rPr>
        <w:t>：中芯国际今日表现出</w:t>
      </w:r>
      <w:r>
        <w:rPr>
          <w:rFonts w:ascii="Microsoft YaHei" w:hAnsi="Microsoft YaHei"/>
          <w:b/>
          <w:color w:val="1A1A1A"/>
        </w:rPr>
        <w:t>极强的抗跌性和资金独立性</w:t>
      </w:r>
      <w:r>
        <w:rPr>
          <w:rFonts w:ascii="Microsoft YaHei" w:hAnsi="Microsoft YaHei"/>
        </w:rPr>
        <w:t>，短期在外围利空冲击下仍有波动，但144元附近已形成较强支撑带。若午后能站稳144元上方并向上试探145-147元区间，则短期底部确认的概率加大。建议关注午后创业板指能否企稳以及费城半导体指数夜盘表现对次日情绪的影响。</w:t>
      </w:r>
    </w:p>
    <w:p>
      <w:pPr>
        <w:spacing w:before="240" w:after="240"/>
        <w:pBdr>
          <w:bottom w:val="single" w:sz="4" w:space="1" w:color="D0D7DE"/>
        </w:pBdr>
      </w:pPr>
    </w:p>
    <w:p>
      <w:r>
        <w:rPr>
          <w:rFonts w:ascii="Microsoft YaHei" w:hAnsi="Microsoft YaHei"/>
        </w:rPr>
        <w:t>*⚠️ 投资有风险，入市需谨慎。本报告仅供参考，不构成任何投资建议。*</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中芯国际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