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</w:rPr>
        <w:t>好的，正文虽无法获取，但基于标题摘要和盘中数据已可充分分析。以下是完整的午间分析报告：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中谷物流（603565.SH）午间分析报告</w:t>
      </w:r>
    </w:p>
    <w:p>
      <w:r>
        <w:rPr>
          <w:rFonts w:ascii="Microsoft YaHei" w:hAnsi="Microsoft YaHei"/>
          <w:b/>
          <w:color w:val="1A1A1A"/>
        </w:rPr>
        <w:t>报告时间：2026年7月29日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今日全市场情绪高涨，市场热度指数 </w:t>
      </w:r>
      <w:r>
        <w:rPr>
          <w:rFonts w:ascii="Microsoft YaHei" w:hAnsi="Microsoft YaHei"/>
          <w:b/>
          <w:color w:val="1A1A1A"/>
        </w:rPr>
        <w:t>56（高）</w:t>
      </w:r>
      <w:r>
        <w:rPr>
          <w:rFonts w:ascii="Microsoft YaHei" w:hAnsi="Microsoft YaHei"/>
        </w:rPr>
        <w:t xml:space="preserve">，成交额达 </w:t>
      </w:r>
      <w:r>
        <w:rPr>
          <w:rFonts w:ascii="Microsoft YaHei" w:hAnsi="Microsoft YaHei"/>
          <w:b/>
          <w:color w:val="1A1A1A"/>
        </w:rPr>
        <w:t>1.46万亿（+1549亿）</w:t>
      </w:r>
      <w:r>
        <w:rPr>
          <w:rFonts w:ascii="Microsoft YaHei" w:hAnsi="Microsoft YaHei"/>
        </w:rPr>
        <w:t xml:space="preserve">，上涨家数 </w:t>
      </w:r>
      <w:r>
        <w:rPr>
          <w:rFonts w:ascii="Microsoft YaHei" w:hAnsi="Microsoft YaHei"/>
          <w:b/>
          <w:color w:val="1A1A1A"/>
        </w:rPr>
        <w:t>3407家</w:t>
      </w:r>
      <w:r>
        <w:rPr>
          <w:rFonts w:ascii="Microsoft YaHei" w:hAnsi="Microsoft YaHei"/>
        </w:rPr>
        <w:t xml:space="preserve"> vs 下跌 </w:t>
      </w:r>
      <w:r>
        <w:rPr>
          <w:rFonts w:ascii="Microsoft YaHei" w:hAnsi="Microsoft YaHei"/>
          <w:b/>
          <w:color w:val="1A1A1A"/>
        </w:rPr>
        <w:t>2025家</w:t>
      </w:r>
      <w:r>
        <w:rPr>
          <w:rFonts w:ascii="Microsoft YaHei" w:hAnsi="Microsoft YaHei"/>
        </w:rPr>
        <w:t xml:space="preserve">，涨停 </w:t>
      </w:r>
      <w:r>
        <w:rPr>
          <w:rFonts w:ascii="Microsoft YaHei" w:hAnsi="Microsoft YaHei"/>
          <w:b/>
          <w:color w:val="1A1A1A"/>
        </w:rPr>
        <w:t>57只</w:t>
      </w:r>
      <w:r>
        <w:rPr>
          <w:rFonts w:ascii="Microsoft YaHei" w:hAnsi="Microsoft YaHei"/>
        </w:rPr>
        <w:t xml:space="preserve">、跌停 </w:t>
      </w:r>
      <w:r>
        <w:rPr>
          <w:rFonts w:ascii="Microsoft YaHei" w:hAnsi="Microsoft YaHei"/>
          <w:b/>
          <w:color w:val="1A1A1A"/>
        </w:rPr>
        <w:t>18只</w:t>
      </w:r>
      <w:r>
        <w:rPr>
          <w:rFonts w:ascii="Microsoft YaHei" w:hAnsi="Microsoft YaHei"/>
        </w:rPr>
        <w:t xml:space="preserve">，赚钱效应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 xml:space="preserve">。市场整体呈现普涨格局，涨幅集中在 </w:t>
      </w:r>
      <w:r>
        <w:rPr>
          <w:rFonts w:ascii="Microsoft YaHei" w:hAnsi="Microsoft YaHei"/>
          <w:b/>
          <w:color w:val="1A1A1A"/>
        </w:rPr>
        <w:t>1%~2%</w:t>
      </w:r>
      <w:r>
        <w:rPr>
          <w:rFonts w:ascii="Microsoft YaHei" w:hAnsi="Microsoft YaHei"/>
        </w:rPr>
        <w:t xml:space="preserve"> 区间。中谷物流在此氛围下录得 </w:t>
      </w:r>
      <w:r>
        <w:rPr>
          <w:rFonts w:ascii="Microsoft YaHei" w:hAnsi="Microsoft YaHei"/>
          <w:b/>
          <w:color w:val="1A1A1A"/>
        </w:rPr>
        <w:t>+2.29%</w:t>
      </w:r>
      <w:r>
        <w:rPr>
          <w:rFonts w:ascii="Microsoft YaHei" w:hAnsi="Microsoft YaHei"/>
        </w:rPr>
        <w:t xml:space="preserve"> 的涨幅，表现优于大盘平均水平。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10.26元</w:t>
            </w:r>
            <w:r>
              <w:rPr>
                <w:rFonts w:ascii="Microsoft YaHei" w:hAnsi="Microsoft YaHei"/>
                <w:sz w:val="18"/>
              </w:rPr>
              <w:t>（+2.29%）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 / 最高 / 最低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10.06 / 10.34 / 10.03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成交量（手）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154,797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成交额（万元）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15,804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0.74%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1.49</w:t>
            </w:r>
            <w:r>
              <w:rPr>
                <w:rFonts w:ascii="Microsoft YaHei" w:hAnsi="Microsoft YaHei"/>
                <w:sz w:val="18"/>
              </w:rPr>
              <w:t>（放量）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10.22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2.06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 / 流通市值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215.47亿</w:t>
            </w:r>
            <w:r>
              <w:rPr>
                <w:rFonts w:ascii="Microsoft YaHei" w:hAnsi="Microsoft YaHei"/>
                <w:sz w:val="18"/>
              </w:rPr>
              <w:t xml:space="preserve"> /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215.47亿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关键解读：</w:t>
      </w:r>
    </w:p>
    <w:p>
      <w:pPr>
        <w:pStyle w:val="ListBullet"/>
      </w:pPr>
      <w:r>
        <w:rPr>
          <w:rFonts w:ascii="Microsoft YaHei" w:hAnsi="Microsoft YaHei"/>
        </w:rPr>
        <w:t xml:space="preserve">股价低开于 </w:t>
      </w:r>
      <w:r>
        <w:rPr>
          <w:rFonts w:ascii="Microsoft YaHei" w:hAnsi="Microsoft YaHei"/>
          <w:b/>
          <w:color w:val="1A1A1A"/>
        </w:rPr>
        <w:t>10.06元</w:t>
      </w:r>
      <w:r>
        <w:rPr>
          <w:rFonts w:ascii="Microsoft YaHei" w:hAnsi="Microsoft YaHei"/>
        </w:rPr>
        <w:t xml:space="preserve">（略高于昨收10.03元），盘中稳步走高，最高触及 </w:t>
      </w:r>
      <w:r>
        <w:rPr>
          <w:rFonts w:ascii="Microsoft YaHei" w:hAnsi="Microsoft YaHei"/>
          <w:b/>
          <w:color w:val="1A1A1A"/>
        </w:rPr>
        <w:t>10.34元</w:t>
      </w:r>
      <w:r>
        <w:rPr>
          <w:rFonts w:ascii="Microsoft YaHei" w:hAnsi="Microsoft YaHei"/>
        </w:rPr>
        <w:t xml:space="preserve">，收于 </w:t>
      </w:r>
      <w:r>
        <w:rPr>
          <w:rFonts w:ascii="Microsoft YaHei" w:hAnsi="Microsoft YaHei"/>
          <w:b/>
          <w:color w:val="1A1A1A"/>
        </w:rPr>
        <w:t>10.26元</w:t>
      </w:r>
      <w:r>
        <w:rPr>
          <w:rFonts w:ascii="Microsoft YaHei" w:hAnsi="Microsoft YaHei"/>
        </w:rPr>
        <w:t xml:space="preserve">，日内涨幅 </w:t>
      </w:r>
      <w:r>
        <w:rPr>
          <w:rFonts w:ascii="Microsoft YaHei" w:hAnsi="Microsoft YaHei"/>
          <w:b/>
          <w:color w:val="1A1A1A"/>
        </w:rPr>
        <w:t>2.29%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 xml:space="preserve">量比 </w:t>
      </w:r>
      <w:r>
        <w:rPr>
          <w:rFonts w:ascii="Microsoft YaHei" w:hAnsi="Microsoft YaHei"/>
          <w:b/>
          <w:color w:val="1A1A1A"/>
        </w:rPr>
        <w:t>1.49</w:t>
      </w:r>
      <w:r>
        <w:rPr>
          <w:rFonts w:ascii="Microsoft YaHei" w:hAnsi="Microsoft YaHei"/>
        </w:rPr>
        <w:t>，显著放量，显示今日交投活跃度明显提升。</w:t>
      </w:r>
    </w:p>
    <w:p>
      <w:pPr>
        <w:pStyle w:val="ListBullet"/>
      </w:pPr>
      <w:r>
        <w:rPr>
          <w:rFonts w:ascii="Microsoft YaHei" w:hAnsi="Microsoft YaHei"/>
        </w:rPr>
        <w:t xml:space="preserve">换手率 </w:t>
      </w:r>
      <w:r>
        <w:rPr>
          <w:rFonts w:ascii="Microsoft YaHei" w:hAnsi="Microsoft YaHei"/>
          <w:b/>
          <w:color w:val="1A1A1A"/>
        </w:rPr>
        <w:t>0.74%</w:t>
      </w:r>
      <w:r>
        <w:rPr>
          <w:rFonts w:ascii="Microsoft YaHei" w:hAnsi="Microsoft YaHei"/>
        </w:rPr>
        <w:t xml:space="preserve">，较上一交易日日终的 </w:t>
      </w:r>
      <w:r>
        <w:rPr>
          <w:rFonts w:ascii="Microsoft YaHei" w:hAnsi="Microsoft YaHei"/>
          <w:b/>
          <w:color w:val="1A1A1A"/>
        </w:rPr>
        <w:t>0.62%</w:t>
      </w:r>
      <w:r>
        <w:rPr>
          <w:rFonts w:ascii="Microsoft YaHei" w:hAnsi="Microsoft YaHei"/>
        </w:rPr>
        <w:t xml:space="preserve"> 放大 </w:t>
      </w:r>
      <w:r>
        <w:rPr>
          <w:rFonts w:ascii="Microsoft YaHei" w:hAnsi="Microsoft YaHei"/>
          <w:b/>
          <w:color w:val="1A1A1A"/>
        </w:rPr>
        <w:t>1.19倍</w:t>
      </w:r>
      <w:r>
        <w:rPr>
          <w:rFonts w:ascii="Microsoft YaHei" w:hAnsi="Microsoft YaHei"/>
        </w:rPr>
        <w:t>，量价配合良好。</w:t>
      </w:r>
    </w:p>
    <w:p>
      <w:pPr>
        <w:pStyle w:val="ListBullet"/>
      </w:pPr>
      <w:r>
        <w:rPr>
          <w:rFonts w:ascii="Microsoft YaHei" w:hAnsi="Microsoft YaHei"/>
        </w:rPr>
        <w:t xml:space="preserve">外盘 </w:t>
      </w:r>
      <w:r>
        <w:rPr>
          <w:rFonts w:ascii="Microsoft YaHei" w:hAnsi="Microsoft YaHei"/>
          <w:b/>
          <w:color w:val="1A1A1A"/>
        </w:rPr>
        <w:t>85,082手</w:t>
      </w:r>
      <w:r>
        <w:rPr>
          <w:rFonts w:ascii="Microsoft YaHei" w:hAnsi="Microsoft YaHei"/>
        </w:rPr>
        <w:t xml:space="preserve"> &gt; 内盘 </w:t>
      </w:r>
      <w:r>
        <w:rPr>
          <w:rFonts w:ascii="Microsoft YaHei" w:hAnsi="Microsoft YaHei"/>
          <w:b/>
          <w:color w:val="1A1A1A"/>
        </w:rPr>
        <w:t>69,715手</w:t>
      </w:r>
      <w:r>
        <w:rPr>
          <w:rFonts w:ascii="Microsoft YaHei" w:hAnsi="Microsoft YaHei"/>
        </w:rPr>
        <w:t xml:space="preserve">，主动性买盘优势明显，差值约 </w:t>
      </w:r>
      <w:r>
        <w:rPr>
          <w:rFonts w:ascii="Microsoft YaHei" w:hAnsi="Microsoft YaHei"/>
          <w:b/>
          <w:color w:val="1A1A1A"/>
        </w:rPr>
        <w:t>1.54万手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2,914.16万元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85分钟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28分钟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309.7万元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77.2万元</w:t>
            </w:r>
          </w:p>
        </w:tc>
      </w:tr>
    </w:tbl>
    <w:p/>
    <w:p>
      <w:pPr>
        <w:pStyle w:val="ListBullet"/>
      </w:pPr>
      <w:r>
        <w:rPr>
          <w:rFonts w:ascii="Microsoft YaHei" w:hAnsi="Microsoft YaHei"/>
        </w:rPr>
        <w:t xml:space="preserve">资金呈现 </w:t>
      </w:r>
      <w:r>
        <w:rPr>
          <w:rFonts w:ascii="Microsoft YaHei" w:hAnsi="Microsoft YaHei"/>
          <w:b/>
          <w:color w:val="1A1A1A"/>
        </w:rPr>
        <w:t>压倒性净流入</w:t>
      </w:r>
      <w:r>
        <w:rPr>
          <w:rFonts w:ascii="Microsoft YaHei" w:hAnsi="Microsoft YaHei"/>
        </w:rPr>
        <w:t xml:space="preserve">，流入分钟数（85）远超流出分钟数（28），流入/流出分钟比 </w:t>
      </w:r>
      <w:r>
        <w:rPr>
          <w:rFonts w:ascii="Microsoft YaHei" w:hAnsi="Microsoft YaHei"/>
          <w:b/>
          <w:color w:val="1A1A1A"/>
        </w:rPr>
        <w:t>3.03:1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 xml:space="preserve">单分钟最大流入（309.7万）是最大流出（77.2万）的 </w:t>
      </w:r>
      <w:r>
        <w:rPr>
          <w:rFonts w:ascii="Microsoft YaHei" w:hAnsi="Microsoft YaHei"/>
          <w:b/>
          <w:color w:val="1A1A1A"/>
        </w:rPr>
        <w:t>4倍</w:t>
      </w:r>
      <w:r>
        <w:rPr>
          <w:rFonts w:ascii="Microsoft YaHei" w:hAnsi="Microsoft YaHei"/>
        </w:rPr>
        <w:t>，买方力量强劲。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上一交易日资金细分（元）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+1,505.8万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2,104.2万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598.4万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+711.2万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2,569.1万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1,857.9万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+697.2万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1,106.0万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408.8万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+2,914.2万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</w:rPr>
        <w:t xml:space="preserve">上一交易日各资金维度已呈全面净流入，其中 </w:t>
      </w:r>
      <w:r>
        <w:rPr>
          <w:rFonts w:ascii="Microsoft YaHei" w:hAnsi="Microsoft YaHei"/>
          <w:b/>
          <w:color w:val="1A1A1A"/>
        </w:rPr>
        <w:t>大单净额占比最大（51.7%）</w:t>
      </w:r>
      <w:r>
        <w:rPr>
          <w:rFonts w:ascii="Microsoft YaHei" w:hAnsi="Microsoft YaHei"/>
        </w:rPr>
        <w:t>，显示主力资金积极布局。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融资融券（7月28日）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1.36亿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-0.28%</w:t>
            </w:r>
            <w:r>
              <w:rPr>
                <w:rFonts w:ascii="Microsoft YaHei" w:hAnsi="Microsoft YaHei"/>
                <w:sz w:val="18"/>
              </w:rPr>
              <w:t>（小幅流出）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0.12亿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+9.02%</w:t>
            </w:r>
            <w:r>
              <w:rPr>
                <w:rFonts w:ascii="Microsoft YaHei" w:hAnsi="Microsoft YaHei"/>
                <w:sz w:val="18"/>
              </w:rPr>
              <w:t>（增加）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融资净买入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-37.9万元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连续小幅偿还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融券净卖出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9.09万股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连续3日累计净卖出32.87万股</w:t>
            </w:r>
          </w:p>
        </w:tc>
      </w:tr>
    </w:tbl>
    <w:p/>
    <w:p>
      <w:pPr>
        <w:pStyle w:val="ListBullet"/>
      </w:pPr>
      <w:r>
        <w:rPr>
          <w:rFonts w:ascii="Microsoft YaHei" w:hAnsi="Microsoft YaHei"/>
        </w:rPr>
        <w:t xml:space="preserve">融资余额占流通市值比例 </w:t>
      </w:r>
      <w:r>
        <w:rPr>
          <w:rFonts w:ascii="Microsoft YaHei" w:hAnsi="Microsoft YaHei"/>
          <w:b/>
          <w:color w:val="1A1A1A"/>
        </w:rPr>
        <w:t>0.63%</w:t>
      </w:r>
      <w:r>
        <w:rPr>
          <w:rFonts w:ascii="Microsoft YaHei" w:hAnsi="Microsoft YaHei"/>
        </w:rPr>
        <w:t xml:space="preserve">，低于近一年 </w:t>
      </w:r>
      <w:r>
        <w:rPr>
          <w:rFonts w:ascii="Microsoft YaHei" w:hAnsi="Microsoft YaHei"/>
          <w:b/>
          <w:color w:val="1A1A1A"/>
        </w:rPr>
        <w:t>30%分位</w:t>
      </w:r>
      <w:r>
        <w:rPr>
          <w:rFonts w:ascii="Microsoft YaHei" w:hAnsi="Microsoft YaHei"/>
        </w:rPr>
        <w:t>，杠杆资金参与度偏低。</w:t>
      </w:r>
    </w:p>
    <w:p>
      <w:pPr>
        <w:pStyle w:val="ListBullet"/>
      </w:pPr>
      <w:r>
        <w:rPr>
          <w:rFonts w:ascii="Microsoft YaHei" w:hAnsi="Microsoft YaHei"/>
        </w:rPr>
        <w:t xml:space="preserve">融券连续3日净卖出，但绝对量较小（约 </w:t>
      </w:r>
      <w:r>
        <w:rPr>
          <w:rFonts w:ascii="Microsoft YaHei" w:hAnsi="Microsoft YaHei"/>
          <w:b/>
          <w:color w:val="1A1A1A"/>
        </w:rPr>
        <w:t>114.8万股</w:t>
      </w:r>
      <w:r>
        <w:rPr>
          <w:rFonts w:ascii="Microsoft YaHei" w:hAnsi="Microsoft YaHei"/>
        </w:rPr>
        <w:t>融券余量），对股价影响有限。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MA5（10.43）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下方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-1.6%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MA10（10.28）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贴近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-0.2%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布林中轨（10.17）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+0.9%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布林带上轨（10.65）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上方压力位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+3.8%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布林带下轨（9.69）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下方支撑位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-5.6%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技术形态研判：</w:t>
      </w:r>
    </w:p>
    <w:p>
      <w:pPr>
        <w:pStyle w:val="ListBullet"/>
      </w:pPr>
      <w:r>
        <w:rPr>
          <w:rFonts w:ascii="Microsoft YaHei" w:hAnsi="Microsoft YaHei"/>
        </w:rPr>
        <w:t xml:space="preserve">今日收盘价 </w:t>
      </w:r>
      <w:r>
        <w:rPr>
          <w:rFonts w:ascii="Microsoft YaHei" w:hAnsi="Microsoft YaHei"/>
          <w:b/>
          <w:color w:val="1A1A1A"/>
        </w:rPr>
        <w:t>10.26元</w:t>
      </w:r>
      <w:r>
        <w:rPr>
          <w:rFonts w:ascii="Microsoft YaHei" w:hAnsi="Microsoft YaHei"/>
        </w:rPr>
        <w:t xml:space="preserve"> 位于 </w:t>
      </w:r>
      <w:r>
        <w:rPr>
          <w:rFonts w:ascii="Microsoft YaHei" w:hAnsi="Microsoft YaHei"/>
          <w:b/>
          <w:color w:val="1A1A1A"/>
        </w:rPr>
        <w:t>MA5（10.43）下方1.6%</w:t>
      </w:r>
      <w:r>
        <w:rPr>
          <w:rFonts w:ascii="Microsoft YaHei" w:hAnsi="Microsoft YaHei"/>
        </w:rPr>
        <w:t>，短期均线仍构成压制。</w:t>
      </w:r>
    </w:p>
    <w:p>
      <w:pPr>
        <w:pStyle w:val="ListBullet"/>
      </w:pPr>
      <w:r>
        <w:rPr>
          <w:rFonts w:ascii="Microsoft YaHei" w:hAnsi="Microsoft YaHei"/>
        </w:rPr>
        <w:t xml:space="preserve">股价已突破 </w:t>
      </w:r>
      <w:r>
        <w:rPr>
          <w:rFonts w:ascii="Microsoft YaHei" w:hAnsi="Microsoft YaHei"/>
          <w:b/>
          <w:color w:val="1A1A1A"/>
        </w:rPr>
        <w:t>MA10（10.28）附近</w:t>
      </w:r>
      <w:r>
        <w:rPr>
          <w:rFonts w:ascii="Microsoft YaHei" w:hAnsi="Microsoft YaHei"/>
        </w:rPr>
        <w:t xml:space="preserve"> 并 </w:t>
      </w:r>
      <w:r>
        <w:rPr>
          <w:rFonts w:ascii="Microsoft YaHei" w:hAnsi="Microsoft YaHei"/>
          <w:b/>
          <w:color w:val="1A1A1A"/>
        </w:rPr>
        <w:t>站上MA20（10.17）</w:t>
      </w:r>
      <w:r>
        <w:rPr>
          <w:rFonts w:ascii="Microsoft YaHei" w:hAnsi="Microsoft YaHei"/>
        </w:rPr>
        <w:t>，中期趋势转好。</w:t>
      </w:r>
    </w:p>
    <w:p>
      <w:pPr>
        <w:pStyle w:val="ListBullet"/>
      </w:pPr>
      <w:r>
        <w:rPr>
          <w:rFonts w:ascii="Microsoft YaHei" w:hAnsi="Microsoft YaHei"/>
        </w:rPr>
        <w:t xml:space="preserve">布林带上下轨宽度为 </w:t>
      </w:r>
      <w:r>
        <w:rPr>
          <w:rFonts w:ascii="Microsoft YaHei" w:hAnsi="Microsoft YaHei"/>
          <w:b/>
          <w:color w:val="1A1A1A"/>
        </w:rPr>
        <w:t>0.96元</w:t>
      </w:r>
      <w:r>
        <w:rPr>
          <w:rFonts w:ascii="Microsoft YaHei" w:hAnsi="Microsoft YaHei"/>
        </w:rPr>
        <w:t xml:space="preserve">（带宽约 </w:t>
      </w:r>
      <w:r>
        <w:rPr>
          <w:rFonts w:ascii="Microsoft YaHei" w:hAnsi="Microsoft YaHei"/>
          <w:b/>
          <w:color w:val="1A1A1A"/>
        </w:rPr>
        <w:t>9.9%</w:t>
      </w:r>
      <w:r>
        <w:rPr>
          <w:rFonts w:ascii="Microsoft YaHei" w:hAnsi="Microsoft YaHei"/>
        </w:rPr>
        <w:t>），属于温和波动区间，未见极端扩张或收窄。</w:t>
      </w:r>
    </w:p>
    <w:p>
      <w:pPr>
        <w:pStyle w:val="ListBullet"/>
      </w:pPr>
      <w:r>
        <w:rPr>
          <w:rFonts w:ascii="Microsoft YaHei" w:hAnsi="Microsoft YaHei"/>
        </w:rPr>
        <w:t xml:space="preserve">日内高点 </w:t>
      </w:r>
      <w:r>
        <w:rPr>
          <w:rFonts w:ascii="Microsoft YaHei" w:hAnsi="Microsoft YaHei"/>
          <w:b/>
          <w:color w:val="1A1A1A"/>
        </w:rPr>
        <w:t>10.34元</w:t>
      </w:r>
      <w:r>
        <w:rPr>
          <w:rFonts w:ascii="Microsoft YaHei" w:hAnsi="Microsoft YaHei"/>
        </w:rPr>
        <w:t xml:space="preserve"> 触及MA10附近后小幅回落，短期关注 </w:t>
      </w:r>
      <w:r>
        <w:rPr>
          <w:rFonts w:ascii="Microsoft YaHei" w:hAnsi="Microsoft YaHei"/>
          <w:b/>
          <w:color w:val="1A1A1A"/>
        </w:rPr>
        <w:t>10.35~10.43元区间</w:t>
      </w:r>
      <w:r>
        <w:rPr>
          <w:rFonts w:ascii="Microsoft YaHei" w:hAnsi="Microsoft YaHei"/>
        </w:rPr>
        <w:t>（MA5附近）的突破情况。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核心事件：可转债发行方案修订（7月28日公告）</w:t>
      </w:r>
    </w:p>
    <w:p>
      <w:r>
        <w:rPr>
          <w:rFonts w:ascii="Microsoft YaHei" w:hAnsi="Microsoft YaHei"/>
        </w:rPr>
        <w:t xml:space="preserve">公司于7月28日集中发布了 </w:t>
      </w:r>
      <w:r>
        <w:rPr>
          <w:rFonts w:ascii="Microsoft YaHei" w:hAnsi="Microsoft YaHei"/>
          <w:b/>
          <w:color w:val="1A1A1A"/>
        </w:rPr>
        <w:t>7份公告</w:t>
      </w:r>
      <w:r>
        <w:rPr>
          <w:rFonts w:ascii="Microsoft YaHei" w:hAnsi="Microsoft YaHei"/>
        </w:rPr>
        <w:t xml:space="preserve">，核心内容为 </w:t>
      </w:r>
      <w:r>
        <w:rPr>
          <w:rFonts w:ascii="Microsoft YaHei" w:hAnsi="Microsoft YaHei"/>
          <w:b/>
          <w:color w:val="1A1A1A"/>
        </w:rPr>
        <w:t>向不特定对象发行可转换公司债券预案（修订稿）</w:t>
      </w:r>
      <w:r>
        <w:rPr>
          <w:rFonts w:ascii="Microsoft YaHei" w:hAnsi="Microsoft YaHei"/>
        </w:rPr>
        <w:t>，主要包括：</w:t>
      </w:r>
    </w:p>
    <w:p>
      <w:pPr>
        <w:pStyle w:val="ListBullet"/>
      </w:pPr>
      <w:r>
        <w:rPr>
          <w:rFonts w:ascii="Microsoft YaHei" w:hAnsi="Microsoft YaHei"/>
        </w:rPr>
        <w:t>调整可转债发行方案</w:t>
      </w:r>
    </w:p>
    <w:p>
      <w:pPr>
        <w:pStyle w:val="ListBullet"/>
      </w:pPr>
      <w:r>
        <w:rPr>
          <w:rFonts w:ascii="Microsoft YaHei" w:hAnsi="Microsoft YaHei"/>
        </w:rPr>
        <w:t>修订相关配套文件</w:t>
      </w:r>
    </w:p>
    <w:p>
      <w:pPr>
        <w:pStyle w:val="ListBullet"/>
      </w:pPr>
      <w:r>
        <w:rPr>
          <w:rFonts w:ascii="Microsoft YaHei" w:hAnsi="Microsoft YaHei"/>
        </w:rPr>
        <w:t>摊薄即期回报的填补措施及承诺</w:t>
      </w:r>
    </w:p>
    <w:p>
      <w:pPr>
        <w:pStyle w:val="ListBullet"/>
      </w:pPr>
      <w:r>
        <w:rPr>
          <w:rFonts w:ascii="Microsoft YaHei" w:hAnsi="Microsoft YaHei"/>
        </w:rPr>
        <w:t>募集资金使用可行性分析（二次修订稿）</w:t>
      </w:r>
    </w:p>
    <w:p>
      <w:r>
        <w:rPr>
          <w:rFonts w:ascii="Microsoft YaHei" w:hAnsi="Microsoft YaHei"/>
          <w:b/>
          <w:color w:val="1A1A1A"/>
        </w:rPr>
        <w:t>影响分析：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短期偏中性</w:t>
      </w:r>
      <w:r>
        <w:rPr>
          <w:rFonts w:ascii="Microsoft YaHei" w:hAnsi="Microsoft YaHei"/>
        </w:rPr>
        <w:t xml:space="preserve">：可转债发行对现有股东存在 </w:t>
      </w:r>
      <w:r>
        <w:rPr>
          <w:rFonts w:ascii="Microsoft YaHei" w:hAnsi="Microsoft YaHei"/>
          <w:b/>
          <w:color w:val="1A1A1A"/>
        </w:rPr>
        <w:t>摊薄效应</w:t>
      </w:r>
      <w:r>
        <w:rPr>
          <w:rFonts w:ascii="Microsoft YaHei" w:hAnsi="Microsoft YaHei"/>
        </w:rPr>
        <w:t xml:space="preserve">（尤其转股后），但公司同步发布了 </w:t>
      </w:r>
      <w:r>
        <w:rPr>
          <w:rFonts w:ascii="Microsoft YaHei" w:hAnsi="Microsoft YaHei"/>
          <w:b/>
          <w:color w:val="1A1A1A"/>
        </w:rPr>
        <w:t>填补回报措施</w:t>
      </w:r>
      <w:r>
        <w:rPr>
          <w:rFonts w:ascii="Microsoft YaHei" w:hAnsi="Microsoft YaHei"/>
        </w:rPr>
        <w:t>，显示管理层对股东利益的重视。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中长期偏积极</w:t>
      </w:r>
      <w:r>
        <w:rPr>
          <w:rFonts w:ascii="Microsoft YaHei" w:hAnsi="Microsoft YaHei"/>
        </w:rPr>
        <w:t>：若募集资金投向优质项目（如运力扩张、航线网络优化等），有望增强公司盈利能力。</w:t>
      </w:r>
    </w:p>
    <w:p>
      <w:pPr>
        <w:pStyle w:val="ListBullet"/>
      </w:pPr>
      <w:r>
        <w:rPr>
          <w:rFonts w:ascii="Microsoft YaHei" w:hAnsi="Microsoft YaHei"/>
        </w:rPr>
        <w:t xml:space="preserve">方案已进入 </w:t>
      </w:r>
      <w:r>
        <w:rPr>
          <w:rFonts w:ascii="Microsoft YaHei" w:hAnsi="Microsoft YaHei"/>
          <w:b/>
          <w:color w:val="1A1A1A"/>
        </w:rPr>
        <w:t>修订稿阶段</w:t>
      </w:r>
      <w:r>
        <w:rPr>
          <w:rFonts w:ascii="Microsoft YaHei" w:hAnsi="Microsoft YaHei"/>
        </w:rPr>
        <w:t>，说明发行进程在持续推进中，关注后续审批进度。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融资融券动态（7月28日）</w:t>
      </w:r>
    </w:p>
    <w:p>
      <w:r>
        <w:rPr>
          <w:rFonts w:ascii="Microsoft YaHei" w:hAnsi="Microsoft YaHei"/>
        </w:rPr>
        <w:t xml:space="preserve">融资余额 </w:t>
      </w:r>
      <w:r>
        <w:rPr>
          <w:rFonts w:ascii="Microsoft YaHei" w:hAnsi="Microsoft YaHei"/>
          <w:b/>
          <w:color w:val="1A1A1A"/>
        </w:rPr>
        <w:t>1.36亿元</w:t>
      </w:r>
      <w:r>
        <w:rPr>
          <w:rFonts w:ascii="Microsoft YaHei" w:hAnsi="Microsoft YaHei"/>
        </w:rPr>
        <w:t xml:space="preserve"> 小幅下降，融券余额小幅增加，整体杠杆资金情绪偏谨慎，但绝对体量较小，对股价影响有限。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该股板块内排名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海上运输Ⅲ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+0.66%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156/1158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6/17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运输（行业）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+0.02%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219/1158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21/121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上证380成份股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+0.09%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211/1158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117/380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中证500成份股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+0.27%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190/1158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180/550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冷链物流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-1.68%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577/1158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15/153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板块表现亮点：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海上运输Ⅲ板块</w:t>
      </w:r>
      <w:r>
        <w:rPr>
          <w:rFonts w:ascii="Microsoft YaHei" w:hAnsi="Microsoft YaHei"/>
        </w:rPr>
        <w:t xml:space="preserve">整体上涨 </w:t>
      </w:r>
      <w:r>
        <w:rPr>
          <w:rFonts w:ascii="Microsoft YaHei" w:hAnsi="Microsoft YaHei"/>
          <w:b/>
          <w:color w:val="1A1A1A"/>
        </w:rPr>
        <w:t>+0.66%</w:t>
      </w:r>
      <w:r>
        <w:rPr>
          <w:rFonts w:ascii="Microsoft YaHei" w:hAnsi="Microsoft YaHei"/>
        </w:rPr>
        <w:t xml:space="preserve">，中谷物流排名 </w:t>
      </w:r>
      <w:r>
        <w:rPr>
          <w:rFonts w:ascii="Microsoft YaHei" w:hAnsi="Microsoft YaHei"/>
          <w:b/>
          <w:color w:val="1A1A1A"/>
        </w:rPr>
        <w:t>6/17</w:t>
      </w:r>
      <w:r>
        <w:rPr>
          <w:rFonts w:ascii="Microsoft YaHei" w:hAnsi="Microsoft YaHei"/>
        </w:rPr>
        <w:t>，处于板块中上游水平，跑赢板块均值。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运输行业板块</w:t>
      </w:r>
      <w:r>
        <w:rPr>
          <w:rFonts w:ascii="Microsoft YaHei" w:hAnsi="Microsoft YaHei"/>
        </w:rPr>
        <w:t xml:space="preserve">微涨 </w:t>
      </w:r>
      <w:r>
        <w:rPr>
          <w:rFonts w:ascii="Microsoft YaHei" w:hAnsi="Microsoft YaHei"/>
          <w:b/>
          <w:color w:val="1A1A1A"/>
        </w:rPr>
        <w:t>+0.02%</w:t>
      </w:r>
      <w:r>
        <w:rPr>
          <w:rFonts w:ascii="Microsoft YaHei" w:hAnsi="Microsoft YaHei"/>
        </w:rPr>
        <w:t xml:space="preserve">，该股 </w:t>
      </w:r>
      <w:r>
        <w:rPr>
          <w:rFonts w:ascii="Microsoft YaHei" w:hAnsi="Microsoft YaHei"/>
          <w:b/>
          <w:color w:val="1A1A1A"/>
        </w:rPr>
        <w:t>+2.29%</w:t>
      </w:r>
      <w:r>
        <w:rPr>
          <w:rFonts w:ascii="Microsoft YaHei" w:hAnsi="Microsoft YaHei"/>
        </w:rPr>
        <w:t xml:space="preserve"> 大幅跑赢行业指数。</w:t>
      </w:r>
    </w:p>
    <w:p>
      <w:pPr>
        <w:pStyle w:val="ListBullet"/>
      </w:pPr>
      <w:r>
        <w:rPr>
          <w:rFonts w:ascii="Microsoft YaHei" w:hAnsi="Microsoft YaHei"/>
        </w:rPr>
        <w:t xml:space="preserve">领涨的航运股如 </w:t>
      </w:r>
      <w:r>
        <w:rPr>
          <w:rFonts w:ascii="Microsoft YaHei" w:hAnsi="Microsoft YaHei"/>
          <w:b/>
          <w:color w:val="1A1A1A"/>
        </w:rPr>
        <w:t>中远海特（+5.78%）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招商南油（+3.05%）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招商轮船（+2.73%）</w:t>
      </w:r>
      <w:r>
        <w:rPr>
          <w:rFonts w:ascii="Microsoft YaHei" w:hAnsi="Microsoft YaHei"/>
        </w:rPr>
        <w:t xml:space="preserve"> 等，显示 </w:t>
      </w:r>
      <w:r>
        <w:rPr>
          <w:rFonts w:ascii="Microsoft YaHei" w:hAnsi="Microsoft YaHei"/>
          <w:b/>
          <w:color w:val="1A1A1A"/>
        </w:rPr>
        <w:t>航运板块整体回暖</w:t>
      </w:r>
      <w:r>
        <w:rPr>
          <w:rFonts w:ascii="Microsoft YaHei" w:hAnsi="Microsoft YaHei"/>
        </w:rPr>
        <w:t>，中谷物流受益于板块共振。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冷链物流概念</w:t>
      </w:r>
      <w:r>
        <w:rPr>
          <w:rFonts w:ascii="Microsoft YaHei" w:hAnsi="Microsoft YaHei"/>
        </w:rPr>
        <w:t xml:space="preserve">虽然整体下跌 </w:t>
      </w:r>
      <w:r>
        <w:rPr>
          <w:rFonts w:ascii="Microsoft YaHei" w:hAnsi="Microsoft YaHei"/>
          <w:b/>
          <w:color w:val="1A1A1A"/>
        </w:rPr>
        <w:t>-1.68%</w:t>
      </w:r>
      <w:r>
        <w:rPr>
          <w:rFonts w:ascii="Microsoft YaHei" w:hAnsi="Microsoft YaHei"/>
        </w:rPr>
        <w:t xml:space="preserve">，但中谷物流逆势上涨 </w:t>
      </w:r>
      <w:r>
        <w:rPr>
          <w:rFonts w:ascii="Microsoft YaHei" w:hAnsi="Microsoft YaHei"/>
          <w:b/>
          <w:color w:val="1A1A1A"/>
        </w:rPr>
        <w:t>+2.29%</w:t>
      </w:r>
      <w:r>
        <w:rPr>
          <w:rFonts w:ascii="Microsoft YaHei" w:hAnsi="Microsoft YaHei"/>
        </w:rPr>
        <w:t xml:space="preserve">，排名 </w:t>
      </w:r>
      <w:r>
        <w:rPr>
          <w:rFonts w:ascii="Microsoft YaHei" w:hAnsi="Microsoft YaHei"/>
          <w:b/>
          <w:color w:val="1A1A1A"/>
        </w:rPr>
        <w:t>15/153</w:t>
      </w:r>
      <w:r>
        <w:rPr>
          <w:rFonts w:ascii="Microsoft YaHei" w:hAnsi="Microsoft YaHei"/>
        </w:rPr>
        <w:t>，个股强势特征明显。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评级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量价关系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放量上涨，量比1.49，外盘大于内盘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★★★★☆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净流入2914万，大单主导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★★★★☆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站上MA20，受MA5压制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★★★☆☆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板块效应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航运板块共振走强，个股跑赢行业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★★★★☆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消息面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可转债方案修订推进中，偏中性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★★★☆☆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融资情绪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融资余额低位，融券小幅增加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★★☆☆☆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主力观点：</w:t>
      </w:r>
    </w:p>
    <w:p>
      <w:r>
        <w:rPr>
          <w:rFonts w:ascii="Microsoft YaHei" w:hAnsi="Microsoft YaHei"/>
        </w:rPr>
        <w:t xml:space="preserve">今日中谷物流呈现 </w:t>
      </w:r>
      <w:r>
        <w:rPr>
          <w:rFonts w:ascii="Microsoft YaHei" w:hAnsi="Microsoft YaHei"/>
          <w:b/>
          <w:color w:val="1A1A1A"/>
        </w:rPr>
        <w:t>放量上攻、资金净流入</w:t>
      </w:r>
      <w:r>
        <w:rPr>
          <w:rFonts w:ascii="Microsoft YaHei" w:hAnsi="Microsoft YaHei"/>
        </w:rPr>
        <w:t xml:space="preserve"> 的偏多格局。股价低开高走，</w:t>
      </w:r>
      <w:r>
        <w:rPr>
          <w:rFonts w:ascii="Microsoft YaHei" w:hAnsi="Microsoft YaHei"/>
          <w:b/>
          <w:color w:val="1A1A1A"/>
        </w:rPr>
        <w:t>量价配合良好</w:t>
      </w:r>
      <w:r>
        <w:rPr>
          <w:rFonts w:ascii="Microsoft YaHei" w:hAnsi="Microsoft YaHei"/>
        </w:rPr>
        <w:t xml:space="preserve">，资金面呈现 </w:t>
      </w:r>
      <w:r>
        <w:rPr>
          <w:rFonts w:ascii="Microsoft YaHei" w:hAnsi="Microsoft YaHei"/>
          <w:b/>
          <w:color w:val="1A1A1A"/>
        </w:rPr>
        <w:t>大单主导的全面净流入</w:t>
      </w:r>
      <w:r>
        <w:rPr>
          <w:rFonts w:ascii="Microsoft YaHei" w:hAnsi="Microsoft YaHei"/>
        </w:rPr>
        <w:t xml:space="preserve">，且航运板块整体回暖形成有效共振。技术上虽受 </w:t>
      </w:r>
      <w:r>
        <w:rPr>
          <w:rFonts w:ascii="Microsoft YaHei" w:hAnsi="Microsoft YaHei"/>
          <w:b/>
          <w:color w:val="1A1A1A"/>
        </w:rPr>
        <w:t>MA5（10.43元）</w:t>
      </w:r>
      <w:r>
        <w:rPr>
          <w:rFonts w:ascii="Microsoft YaHei" w:hAnsi="Microsoft YaHei"/>
        </w:rPr>
        <w:t xml:space="preserve"> 压制，但已 </w:t>
      </w:r>
      <w:r>
        <w:rPr>
          <w:rFonts w:ascii="Microsoft YaHei" w:hAnsi="Microsoft YaHei"/>
          <w:b/>
          <w:color w:val="1A1A1A"/>
        </w:rPr>
        <w:t>站稳MA20</w:t>
      </w:r>
      <w:r>
        <w:rPr>
          <w:rFonts w:ascii="Microsoft YaHei" w:hAnsi="Microsoft YaHei"/>
        </w:rPr>
        <w:t xml:space="preserve">，中期趋势转好。可转债修订方案持续推进，短期稀释压力可控。午后关注能否放量突破 </w:t>
      </w:r>
      <w:r>
        <w:rPr>
          <w:rFonts w:ascii="Microsoft YaHei" w:hAnsi="Microsoft YaHei"/>
          <w:b/>
          <w:color w:val="1A1A1A"/>
        </w:rPr>
        <w:t>10.35~10.43元压力区间</w:t>
      </w:r>
      <w:r>
        <w:rPr>
          <w:rFonts w:ascii="Microsoft YaHei" w:hAnsi="Microsoft YaHei"/>
        </w:rPr>
        <w:t xml:space="preserve">，若突破则有望向布林带上轨 </w:t>
      </w:r>
      <w:r>
        <w:rPr>
          <w:rFonts w:ascii="Microsoft YaHei" w:hAnsi="Microsoft YaHei"/>
          <w:b/>
          <w:color w:val="1A1A1A"/>
        </w:rPr>
        <w:t>10.65元</w:t>
      </w:r>
      <w:r>
        <w:rPr>
          <w:rFonts w:ascii="Microsoft YaHei" w:hAnsi="Microsoft YaHei"/>
        </w:rPr>
        <w:t xml:space="preserve"> 发起挑战；下方 </w:t>
      </w:r>
      <w:r>
        <w:rPr>
          <w:rFonts w:ascii="Microsoft YaHei" w:hAnsi="Microsoft YaHei"/>
          <w:b/>
          <w:color w:val="1A1A1A"/>
        </w:rPr>
        <w:t>MA20（10.17元）</w:t>
      </w:r>
      <w:r>
        <w:rPr>
          <w:rFonts w:ascii="Microsoft YaHei" w:hAnsi="Microsoft YaHei"/>
        </w:rPr>
        <w:t xml:space="preserve"> 构成短期支撑。</w:t>
      </w:r>
    </w:p>
    <w:p>
      <w:r>
        <w:rPr>
          <w:rFonts w:ascii="Microsoft YaHei" w:hAnsi="Microsoft YaHei"/>
          <w:b/>
          <w:color w:val="1A1A1A"/>
        </w:rPr>
        <w:t>风险提示：</w:t>
      </w:r>
      <w:r>
        <w:rPr>
          <w:rFonts w:ascii="Microsoft YaHei" w:hAnsi="Microsoft YaHei"/>
        </w:rPr>
        <w:t xml:space="preserve"> 可转债发行对EPS存在摊薄效应；融券余额连续增加需关注；大盘若回落可能影响做多情绪。以上分析不构成投资建议，投资有风险，入市需谨慎。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中谷物流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