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中青旅（600138.SH）午间分析报告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>今日A股整体情绪偏暖，市场热度录得</w:t>
      </w:r>
      <w:r>
        <w:rPr>
          <w:rFonts w:ascii="Microsoft YaHei" w:hAnsi="Microsoft YaHei"/>
          <w:b/>
          <w:color w:val="1A1A1A"/>
        </w:rPr>
        <w:t>56（高）</w:t>
      </w:r>
      <w:r>
        <w:rPr>
          <w:rFonts w:ascii="Microsoft YaHei" w:hAnsi="Microsoft YaHei"/>
        </w:rPr>
        <w:t>。全市场成交额达</w:t>
      </w:r>
      <w:r>
        <w:rPr>
          <w:rFonts w:ascii="Microsoft YaHei" w:hAnsi="Microsoft YaHei"/>
          <w:b/>
          <w:color w:val="1A1A1A"/>
        </w:rPr>
        <w:t>1.46万亿元</w:t>
      </w:r>
      <w:r>
        <w:rPr>
          <w:rFonts w:ascii="Microsoft YaHei" w:hAnsi="Microsoft YaHei"/>
        </w:rPr>
        <w:t>，较前一交易日增加</w:t>
      </w:r>
      <w:r>
        <w:rPr>
          <w:rFonts w:ascii="Microsoft YaHei" w:hAnsi="Microsoft YaHei"/>
          <w:b/>
          <w:color w:val="1A1A1A"/>
        </w:rPr>
        <w:t>1549亿元</w:t>
      </w:r>
      <w:r>
        <w:rPr>
          <w:rFonts w:ascii="Microsoft YaHei" w:hAnsi="Microsoft YaHei"/>
        </w:rPr>
        <w:t>，量能显著放大。上涨家数</w:t>
      </w:r>
      <w:r>
        <w:rPr>
          <w:rFonts w:ascii="Microsoft YaHei" w:hAnsi="Microsoft YaHei"/>
          <w:b/>
          <w:color w:val="1A1A1A"/>
        </w:rPr>
        <w:t>3404家</w:t>
      </w:r>
      <w:r>
        <w:rPr>
          <w:rFonts w:ascii="Microsoft YaHei" w:hAnsi="Microsoft YaHei"/>
        </w:rPr>
        <w:t>，下跌</w:t>
      </w:r>
      <w:r>
        <w:rPr>
          <w:rFonts w:ascii="Microsoft YaHei" w:hAnsi="Microsoft YaHei"/>
          <w:b/>
          <w:color w:val="1A1A1A"/>
        </w:rPr>
        <w:t>2018家</w:t>
      </w:r>
      <w:r>
        <w:rPr>
          <w:rFonts w:ascii="Microsoft YaHei" w:hAnsi="Microsoft YaHei"/>
        </w:rPr>
        <w:t>，上涨占比达</w:t>
      </w:r>
      <w:r>
        <w:rPr>
          <w:rFonts w:ascii="Microsoft YaHei" w:hAnsi="Microsoft YaHei"/>
          <w:b/>
          <w:color w:val="1A1A1A"/>
        </w:rPr>
        <w:t>79%</w:t>
      </w:r>
      <w:r>
        <w:rPr>
          <w:rFonts w:ascii="Microsoft YaHei" w:hAnsi="Microsoft YaHei"/>
        </w:rPr>
        <w:t>，赚钱效应为46%。涨停梯队方面，一板50只（晋级率7%）、二板3只（晋级率23%）、三板3只（晋级率33%），高度板1只。整体市场人气较好，但个股涨幅多集中在1%~2%区间，追高赚钱效应一般。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收盘数据一览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7.05元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昨收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7.04元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+0.14%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最高 / 最低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7.15 / 6.98元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6588万元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1.29%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0.98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-34.57</w:t>
            </w:r>
            <w:r>
              <w:rPr>
                <w:rFonts w:ascii="Microsoft YaHei" w:hAnsi="Microsoft YaHei"/>
                <w:sz w:val="18"/>
              </w:rPr>
              <w:t>（亏损）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0.81</w:t>
            </w:r>
            <w:r>
              <w:rPr>
                <w:rFonts w:ascii="Microsoft YaHei" w:hAnsi="Microsoft YaHei"/>
                <w:sz w:val="18"/>
              </w:rPr>
              <w:t>（破净）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51.03亿元</w:t>
            </w:r>
          </w:p>
        </w:tc>
      </w:tr>
    </w:tbl>
    <w:p/>
    <w:p>
      <w:r>
        <w:rPr>
          <w:rFonts w:ascii="Microsoft YaHei" w:hAnsi="Microsoft YaHei"/>
        </w:rPr>
        <w:t>中青旅今日小幅高开于7.06元，盘中冲高至</w:t>
      </w:r>
      <w:r>
        <w:rPr>
          <w:rFonts w:ascii="Microsoft YaHei" w:hAnsi="Microsoft YaHei"/>
          <w:b/>
          <w:color w:val="1A1A1A"/>
        </w:rPr>
        <w:t>7.15元</w:t>
      </w:r>
      <w:r>
        <w:rPr>
          <w:rFonts w:ascii="Microsoft YaHei" w:hAnsi="Microsoft YaHei"/>
        </w:rPr>
        <w:t>后回落，最低探至6.98元，午盘报收7.05元，微涨</w:t>
      </w:r>
      <w:r>
        <w:rPr>
          <w:rFonts w:ascii="Microsoft YaHei" w:hAnsi="Microsoft YaHei"/>
          <w:b/>
          <w:color w:val="1A1A1A"/>
        </w:rPr>
        <w:t>0.14%</w:t>
      </w:r>
      <w:r>
        <w:rPr>
          <w:rFonts w:ascii="Microsoft YaHei" w:hAnsi="Microsoft YaHei"/>
        </w:rPr>
        <w:t>。股价围绕昨收窄幅震荡，振幅</w:t>
      </w:r>
      <w:r>
        <w:rPr>
          <w:rFonts w:ascii="Microsoft YaHei" w:hAnsi="Microsoft YaHei"/>
          <w:b/>
          <w:color w:val="1A1A1A"/>
        </w:rPr>
        <w:t>2.41%</w:t>
      </w:r>
      <w:r>
        <w:rPr>
          <w:rFonts w:ascii="Microsoft YaHei" w:hAnsi="Microsoft YaHei"/>
        </w:rPr>
        <w:t>，交投相对平稳。</w:t>
      </w:r>
    </w:p>
    <w:p>
      <w:r>
        <w:rPr>
          <w:rFonts w:ascii="Microsoft YaHei" w:hAnsi="Microsoft YaHei"/>
          <w:b/>
          <w:color w:val="1A1A1A"/>
        </w:rPr>
        <w:t>估值层面</w:t>
      </w:r>
      <w:r>
        <w:rPr>
          <w:rFonts w:ascii="Microsoft YaHei" w:hAnsi="Microsoft YaHei"/>
        </w:rPr>
        <w:t>：动态市盈率为负值（-34.57），反映公司当前处于亏损状态；市净率</w:t>
      </w:r>
      <w:r>
        <w:rPr>
          <w:rFonts w:ascii="Microsoft YaHei" w:hAnsi="Microsoft YaHei"/>
          <w:b/>
          <w:color w:val="1A1A1A"/>
        </w:rPr>
        <w:t>0.81倍</w:t>
      </w:r>
      <w:r>
        <w:rPr>
          <w:rFonts w:ascii="Microsoft YaHei" w:hAnsi="Microsoft YaHei"/>
        </w:rPr>
        <w:t>，已跌破净资产，具备一定的估值安全边际，但需关注盈利修复节奏。</w:t>
      </w:r>
    </w:p>
    <w:p>
      <w:r>
        <w:rPr>
          <w:rFonts w:ascii="Microsoft YaHei" w:hAnsi="Microsoft YaHei"/>
          <w:b/>
          <w:color w:val="1A1A1A"/>
        </w:rPr>
        <w:t>量能层面</w:t>
      </w:r>
      <w:r>
        <w:rPr>
          <w:rFonts w:ascii="Microsoft YaHei" w:hAnsi="Microsoft YaHei"/>
        </w:rPr>
        <w:t>：今日半日换手率1.29%，较上一个交易日全天换手率0.80%放大约</w:t>
      </w:r>
      <w:r>
        <w:rPr>
          <w:rFonts w:ascii="Microsoft YaHei" w:hAnsi="Microsoft YaHei"/>
          <w:b/>
          <w:color w:val="1A1A1A"/>
        </w:rPr>
        <w:t>61%</w:t>
      </w:r>
      <w:r>
        <w:rPr>
          <w:rFonts w:ascii="Microsoft YaHei" w:hAnsi="Microsoft YaHei"/>
        </w:rPr>
        <w:t>（量比0.98），属于</w:t>
      </w:r>
      <w:r>
        <w:rPr>
          <w:rFonts w:ascii="Microsoft YaHei" w:hAnsi="Microsoft YaHei"/>
          <w:b/>
          <w:color w:val="1A1A1A"/>
        </w:rPr>
        <w:t>放量震荡</w:t>
      </w:r>
      <w:r>
        <w:rPr>
          <w:rFonts w:ascii="Microsoft YaHei" w:hAnsi="Microsoft YaHei"/>
        </w:rPr>
        <w:t>格局，说明市场关注度有所提升。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今日盘中资金流向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408.54万元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60分钟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资金流出分钟数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52分钟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212.9万元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164.0万元</w:t>
            </w:r>
          </w:p>
        </w:tc>
      </w:tr>
    </w:tbl>
    <w:p/>
    <w:p>
      <w:r>
        <w:rPr>
          <w:rFonts w:ascii="Microsoft YaHei" w:hAnsi="Microsoft YaHei"/>
        </w:rPr>
        <w:t>今日半日统计共113分钟，资金呈现</w:t>
      </w:r>
      <w:r>
        <w:rPr>
          <w:rFonts w:ascii="Microsoft YaHei" w:hAnsi="Microsoft YaHei"/>
          <w:b/>
          <w:color w:val="1A1A1A"/>
        </w:rPr>
        <w:t>净流入状态</w:t>
      </w:r>
      <w:r>
        <w:rPr>
          <w:rFonts w:ascii="Microsoft YaHei" w:hAnsi="Microsoft YaHei"/>
        </w:rPr>
        <w:t>，流入时长占比约</w:t>
      </w:r>
      <w:r>
        <w:rPr>
          <w:rFonts w:ascii="Microsoft YaHei" w:hAnsi="Microsoft YaHei"/>
          <w:b/>
          <w:color w:val="1A1A1A"/>
        </w:rPr>
        <w:t>53%</w:t>
      </w:r>
      <w:r>
        <w:rPr>
          <w:rFonts w:ascii="Microsoft YaHei" w:hAnsi="Microsoft YaHei"/>
        </w:rPr>
        <w:t>。最大单分钟流入（212.9万）大于最大单分钟流出（164.0万），表明盘中多方资金有试探性进攻动作，但力度有限。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上一交易日资金细分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净额（元）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方向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-44.59万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净流出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+426.88万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净流入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+29.65万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净流入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合计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+411.94万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净流入</w:t>
            </w:r>
          </w:p>
        </w:tc>
      </w:tr>
    </w:tbl>
    <w:p/>
    <w:p>
      <w:r>
        <w:rPr>
          <w:rFonts w:ascii="Microsoft YaHei" w:hAnsi="Microsoft YaHei"/>
        </w:rPr>
        <w:t>昨日大单资金小幅净流出44.59万元，而中单资金净流入426.88万元形成对冲。结合今日盘中的资金动向，中小单资金偏积极，但大单资金尚未形成一致做多合力。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融资融券（上一交易日）</w:t>
      </w:r>
    </w:p>
    <w:p>
      <w:pPr>
        <w:pStyle w:val="ListBullet"/>
      </w:pPr>
      <w:r>
        <w:rPr>
          <w:rFonts w:ascii="Microsoft YaHei" w:hAnsi="Microsoft YaHei"/>
        </w:rPr>
        <w:t>融资余额：</w:t>
      </w:r>
      <w:r>
        <w:rPr>
          <w:rFonts w:ascii="Microsoft YaHei" w:hAnsi="Microsoft YaHei"/>
          <w:b/>
          <w:color w:val="1A1A1A"/>
        </w:rPr>
        <w:t>3.44亿元</w:t>
      </w:r>
      <w:r>
        <w:rPr>
          <w:rFonts w:ascii="Microsoft YaHei" w:hAnsi="Microsoft YaHei"/>
        </w:rPr>
        <w:t>（较前日 -0.88%）→ 融资客小幅减仓</w:t>
      </w:r>
    </w:p>
    <w:p>
      <w:pPr>
        <w:pStyle w:val="ListBullet"/>
      </w:pPr>
      <w:r>
        <w:rPr>
          <w:rFonts w:ascii="Microsoft YaHei" w:hAnsi="Microsoft YaHei"/>
        </w:rPr>
        <w:t>融券余额：</w:t>
      </w:r>
      <w:r>
        <w:rPr>
          <w:rFonts w:ascii="Microsoft YaHei" w:hAnsi="Microsoft YaHei"/>
          <w:b/>
          <w:color w:val="1A1A1A"/>
        </w:rPr>
        <w:t>0.00亿元</w:t>
      </w:r>
      <w:r>
        <w:rPr>
          <w:rFonts w:ascii="Microsoft YaHei" w:hAnsi="Microsoft YaHei"/>
        </w:rPr>
        <w:t>（较前日 +1.83%）→ 融券规模极小，做空力量有限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MA5（6.96元）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价格在其上方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+1.3%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MA10（6.97元）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价格在其上方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+1.1%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MA20/布林中轨（6.84元）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价格在其上方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+3.1%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布林带上轨（7.18元）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距当前价约1.8%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布林带下轨（6.50元）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距当前价约7.8%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</w:rPr>
        <w:t>从均线系统来看，中青旅股价目前</w:t>
      </w:r>
      <w:r>
        <w:rPr>
          <w:rFonts w:ascii="Microsoft YaHei" w:hAnsi="Microsoft YaHei"/>
          <w:b/>
          <w:color w:val="1A1A1A"/>
        </w:rPr>
        <w:t>站上MA5、MA10及MA20三条均线</w:t>
      </w:r>
      <w:r>
        <w:rPr>
          <w:rFonts w:ascii="Microsoft YaHei" w:hAnsi="Microsoft YaHei"/>
        </w:rPr>
        <w:t>，均线呈现多头排列雏形。布林带方面，价格位于中轨（6.84元）与上轨（7.18元）之间，偏离中轨幅度约</w:t>
      </w:r>
      <w:r>
        <w:rPr>
          <w:rFonts w:ascii="Microsoft YaHei" w:hAnsi="Microsoft YaHei"/>
          <w:b/>
          <w:color w:val="1A1A1A"/>
        </w:rPr>
        <w:t>3.1%</w:t>
      </w:r>
      <w:r>
        <w:rPr>
          <w:rFonts w:ascii="Microsoft YaHei" w:hAnsi="Microsoft YaHei"/>
        </w:rPr>
        <w:t>，尚未触及上轨压力。若午后能放量突破7.15元前高乃至7.18元布林上轨，则短线空间有望进一步打开；反之，若回踩MA10（6.97元）甚至MA20（6.84元），将是短期支撑测试位。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r>
        <w:rPr>
          <w:rFonts w:ascii="Microsoft YaHei" w:hAnsi="Microsoft YaHei"/>
        </w:rPr>
        <w:t>中青旅所属多个概念及行业板块今日整体承压，但个股在板块内排名</w:t>
      </w:r>
      <w:r>
        <w:rPr>
          <w:rFonts w:ascii="Microsoft YaHei" w:hAnsi="Microsoft YaHei"/>
          <w:b/>
          <w:color w:val="1A1A1A"/>
        </w:rPr>
        <w:t>相对靠前</w:t>
      </w:r>
      <w:r>
        <w:rPr>
          <w:rFonts w:ascii="Microsoft YaHei" w:hAnsi="Microsoft YaHei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板块类别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消费者服务（700327.TI）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-1.46%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12/52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酒店、餐馆与休闲（700386.TI）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-1.28%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11/38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酒店、度假村与豪华游轮（700514.TI）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-1.12%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9/28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旅游概念（885497.TI）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-1.47%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54/150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亮点</w:t>
      </w:r>
      <w:r>
        <w:rPr>
          <w:rFonts w:ascii="Microsoft YaHei" w:hAnsi="Microsoft YaHei"/>
        </w:rPr>
        <w:t>：消费者服务板块中，中国中免（+3.35%）、锦江酒店（+3.15%）、首旅酒店（+2.58%）领涨，反映出</w:t>
      </w:r>
      <w:r>
        <w:rPr>
          <w:rFonts w:ascii="Microsoft YaHei" w:hAnsi="Microsoft YaHei"/>
          <w:b/>
          <w:color w:val="1A1A1A"/>
        </w:rPr>
        <w:t>消费服务龙头股已率先企稳反弹</w:t>
      </w:r>
      <w:r>
        <w:rPr>
          <w:rFonts w:ascii="Microsoft YaHei" w:hAnsi="Microsoft YaHei"/>
        </w:rPr>
        <w:t>。中青旅虽涨幅不大（+0.14%），但在板块普跌背景下逆势收红，表现出一定的</w:t>
      </w:r>
      <w:r>
        <w:rPr>
          <w:rFonts w:ascii="Microsoft YaHei" w:hAnsi="Microsoft YaHei"/>
          <w:b/>
          <w:color w:val="1A1A1A"/>
        </w:rPr>
        <w:t>抗跌属性</w:t>
      </w:r>
      <w:r>
        <w:rPr>
          <w:rFonts w:ascii="Microsoft YaHei" w:hAnsi="Microsoft YaHei"/>
        </w:rPr>
        <w:t>。旅游概念板块整体下跌1.47%，中青旅排名54/150，处于板块中上游水平。</w:t>
      </w:r>
    </w:p>
    <w:p>
      <w:r>
        <w:rPr>
          <w:rFonts w:ascii="Microsoft YaHei" w:hAnsi="Microsoft YaHei"/>
        </w:rPr>
        <w:t>教育产业板块今日小幅上涨（+0.58%），主要受国务院《教育发展"十五五"规划》政策催化，但中青旅教育业务占比较小，此主题联动性有限。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判断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短线趋势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偏多震荡，站上多条均线，但上方受布林上轨7.18元压制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资金情绪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中性偏积极，中小单持续流入，但大单未形成合力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板块联动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旅游/消费服务板块普跌，个股逆势抗跌，相对强势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估值水平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PB破净（0.81倍）提供安全垫，但PE为负需警惕盈利风险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风险提示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换手率放大但股价涨幅有限，存在滞涨隐患；动态市盈率为负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整体研判</w:t>
      </w:r>
      <w:r>
        <w:rPr>
          <w:rFonts w:ascii="Microsoft YaHei" w:hAnsi="Microsoft YaHei"/>
        </w:rPr>
        <w:t>：中青旅今日呈现</w:t>
      </w:r>
      <w:r>
        <w:rPr>
          <w:rFonts w:ascii="Microsoft YaHei" w:hAnsi="Microsoft YaHei"/>
          <w:b/>
          <w:color w:val="1A1A1A"/>
        </w:rPr>
        <w:t>放量震荡、逆势抗跌</w:t>
      </w:r>
      <w:r>
        <w:rPr>
          <w:rFonts w:ascii="Microsoft YaHei" w:hAnsi="Microsoft YaHei"/>
        </w:rPr>
        <w:t>的走势特征。市场大盘情绪较好（79%个股上涨），消费服务龙头（中免、锦江等）已率先反弹，中青旅在板块普跌中收红，显示下方承接力尚可。技术面，股价站稳MA5/MA10/MA20均线系统，短期偏多架构确立。资金面上，盘中净流入408万元，但大单资金参与度有限，暂未出现主力强攻信号。</w:t>
      </w:r>
      <w:r>
        <w:rPr>
          <w:rFonts w:ascii="Microsoft YaHei" w:hAnsi="Microsoft YaHei"/>
          <w:b/>
          <w:color w:val="1A1A1A"/>
        </w:rPr>
        <w:t>午后关注焦点</w:t>
      </w:r>
      <w:r>
        <w:rPr>
          <w:rFonts w:ascii="Microsoft YaHei" w:hAnsi="Microsoft YaHei"/>
        </w:rPr>
        <w:t>：能否放量突破7.15元前高及7.18元布林上轨，若突破则短线空间打开；若持续缩量横盘，则需防范回踩均线支撑。</w:t>
      </w:r>
    </w:p>
    <w:p>
      <w:r>
        <w:rPr>
          <w:rFonts w:ascii="Microsoft YaHei" w:hAnsi="Microsoft YaHei"/>
        </w:rPr>
        <w:t xml:space="preserve">&gt; ⚠️ </w:t>
      </w:r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>：以上分析基于公开数据，不构成投资建议。股市有风险，投资需谨慎。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中青旅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