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现在信息已经足够，我开始撰写午间分析报告。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华侨城A（000069.SZ）午间分析报告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今日全市场情绪偏暖，沪市早盘成交额达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（较昨日同期+1,549亿元），上涨占比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3,404家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2,018家</w:t>
      </w:r>
      <w:r>
        <w:rPr>
          <w:rFonts w:ascii="Microsoft YaHei" w:hAnsi="Microsoft YaHei"/>
        </w:rPr>
        <w:t xml:space="preserve">。市场热度指数录得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，赚钱效应约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，整体呈现普涨格局。</w:t>
      </w:r>
    </w:p>
    <w:p>
      <w:r>
        <w:rPr>
          <w:rFonts w:ascii="Microsoft YaHei" w:hAnsi="Microsoft YaHei"/>
        </w:rPr>
        <w:t>早盘涨停梯队结构为：一板50只（晋级率7%）/ 二板3只（晋级率23%）/ 三板3只（晋级率33%）/ 高度板1只，连板晋级率尚可，短线情绪有所修复。</w:t>
      </w:r>
    </w:p>
    <w:p>
      <w:r>
        <w:rPr>
          <w:rFonts w:ascii="Microsoft YaHei" w:hAnsi="Microsoft YaHei"/>
        </w:rPr>
        <w:t>华侨城A所属的</w:t>
      </w:r>
      <w:r>
        <w:rPr>
          <w:rFonts w:ascii="Microsoft YaHei" w:hAnsi="Microsoft YaHei"/>
          <w:b/>
          <w:color w:val="1A1A1A"/>
        </w:rPr>
        <w:t>房地产及文旅板块</w:t>
      </w:r>
      <w:r>
        <w:rPr>
          <w:rFonts w:ascii="Microsoft YaHei" w:hAnsi="Microsoft YaHei"/>
        </w:rPr>
        <w:t>今日未有明显板块性爆发，但受益于整体市场情绪回暖，个股表现优于大盘。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昨收/开盘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1.65 / 1.66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1.70 / 1.65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564,883手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9,507万元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0.82%</w:t>
            </w:r>
            <w:r>
              <w:rPr>
                <w:rFonts w:ascii="Microsoft YaHei" w:hAnsi="Microsoft YaHei"/>
                <w:sz w:val="18"/>
              </w:rPr>
              <w:t>（上一交易日为0.62%）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3.03%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-2.48</w:t>
            </w:r>
            <w:r>
              <w:rPr>
                <w:rFonts w:ascii="Microsoft YaHei" w:hAnsi="Microsoft YaHei"/>
                <w:sz w:val="18"/>
              </w:rPr>
              <w:t>（亏损）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0.40</w:t>
            </w:r>
            <w:r>
              <w:rPr>
                <w:rFonts w:ascii="Microsoft YaHei" w:hAnsi="Microsoft YaHei"/>
                <w:sz w:val="18"/>
              </w:rPr>
              <w:t>（深度破净）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135.84亿元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116.59亿元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早盘高开（1.66→1.69），盘中摸高 </w:t>
      </w:r>
      <w:r>
        <w:rPr>
          <w:rFonts w:ascii="Microsoft YaHei" w:hAnsi="Microsoft YaHei"/>
          <w:b/>
          <w:color w:val="1A1A1A"/>
        </w:rPr>
        <w:t>1.70元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2.42%</w:t>
      </w:r>
      <w:r>
        <w:rPr>
          <w:rFonts w:ascii="Microsoft YaHei" w:hAnsi="Microsoft YaHei"/>
        </w:rPr>
        <w:t>，为近几个交易日较为强势的半日表现。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0.82%</w:t>
      </w:r>
      <w:r>
        <w:rPr>
          <w:rFonts w:ascii="Microsoft YaHei" w:hAnsi="Microsoft YaHei"/>
        </w:rPr>
        <w:t>，较上一交易日0.62%有所放大，说明交投活跃度提升，量比1.06显示成交量温和放大。</w:t>
      </w:r>
    </w:p>
    <w:p>
      <w:pPr>
        <w:pStyle w:val="ListBullet"/>
      </w:pPr>
      <w:r>
        <w:rPr>
          <w:rFonts w:ascii="Microsoft YaHei" w:hAnsi="Microsoft YaHei"/>
        </w:rPr>
        <w:t xml:space="preserve">市净率 </w:t>
      </w:r>
      <w:r>
        <w:rPr>
          <w:rFonts w:ascii="Microsoft YaHei" w:hAnsi="Microsoft YaHei"/>
          <w:b/>
          <w:color w:val="1A1A1A"/>
        </w:rPr>
        <w:t>0.40倍</w:t>
      </w:r>
      <w:r>
        <w:rPr>
          <w:rFonts w:ascii="Microsoft YaHei" w:hAnsi="Microsoft YaHei"/>
        </w:rPr>
        <w:t>，仍处于极端破净区间，反映出市场对其资产质量和盈利能力的深度折价。</w:t>
      </w:r>
    </w:p>
    <w:p>
      <w:pPr>
        <w:pStyle w:val="ListBullet"/>
      </w:pPr>
      <w:r>
        <w:rPr>
          <w:rFonts w:ascii="Microsoft YaHei" w:hAnsi="Microsoft YaHei"/>
        </w:rPr>
        <w:t>动态市盈率为负，主因公司近年持续处于亏损状态。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今日盘中资金流向（截至11:30）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3,878万元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64分钟 / 流出49分钟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1,116.5万元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374.3万元</w:t>
            </w:r>
          </w:p>
        </w:tc>
      </w:tr>
    </w:tbl>
    <w:p/>
    <w:p>
      <w:r>
        <w:rPr>
          <w:rFonts w:ascii="Microsoft YaHei" w:hAnsi="Microsoft YaHei"/>
        </w:rPr>
        <w:t>资金净流入明显，且</w:t>
      </w:r>
      <w:r>
        <w:rPr>
          <w:rFonts w:ascii="Microsoft YaHei" w:hAnsi="Microsoft YaHei"/>
          <w:b/>
          <w:color w:val="1A1A1A"/>
        </w:rPr>
        <w:t>流入分钟数大幅领先流出分钟数</w:t>
      </w:r>
      <w:r>
        <w:rPr>
          <w:rFonts w:ascii="Microsoft YaHei" w:hAnsi="Microsoft YaHei"/>
        </w:rPr>
        <w:t>（64:49），大单主动买入意愿较强。最大单分钟流入量（1,116.5万）远超最大单分钟流出（374.3万），显示盘中存在明显的机构或大户资金介入。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+3,511万</w:t>
            </w:r>
            <w:r>
              <w:rPr>
                <w:rFonts w:ascii="Microsoft YaHei" w:hAnsi="Microsoft YaHei"/>
                <w:sz w:val="18"/>
              </w:rPr>
              <w:t>（买入4,489万 / 卖出979万）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+245万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+122万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+3,878万</w:t>
            </w:r>
          </w:p>
        </w:tc>
      </w:tr>
    </w:tbl>
    <w:p/>
    <w:p>
      <w:r>
        <w:rPr>
          <w:rFonts w:ascii="Microsoft YaHei" w:hAnsi="Microsoft YaHei"/>
        </w:rPr>
        <w:t xml:space="preserve">大单占净流入的 </w:t>
      </w:r>
      <w:r>
        <w:rPr>
          <w:rFonts w:ascii="Microsoft YaHei" w:hAnsi="Microsoft YaHei"/>
          <w:b/>
          <w:color w:val="1A1A1A"/>
        </w:rPr>
        <w:t>90.5%</w:t>
      </w:r>
      <w:r>
        <w:rPr>
          <w:rFonts w:ascii="Microsoft YaHei" w:hAnsi="Microsoft YaHei"/>
        </w:rPr>
        <w:t>，说明主力资金是今日推升股价的核心力量，小单跟风为辅。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5.45亿元</w:t>
      </w:r>
      <w:r>
        <w:rPr>
          <w:rFonts w:ascii="Microsoft YaHei" w:hAnsi="Microsoft YaHei"/>
        </w:rPr>
        <w:t>（较前日+0.31%）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0.01亿元</w:t>
      </w:r>
      <w:r>
        <w:rPr>
          <w:rFonts w:ascii="Microsoft YaHei" w:hAnsi="Microsoft YaHei"/>
        </w:rPr>
        <w:t>（较前日-0.65%）</w:t>
      </w:r>
    </w:p>
    <w:p>
      <w:pPr>
        <w:pStyle w:val="ListBullet"/>
      </w:pPr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4.70%</w:t>
      </w:r>
      <w:r>
        <w:rPr>
          <w:rFonts w:ascii="Microsoft YaHei" w:hAnsi="Microsoft YaHei"/>
        </w:rPr>
        <w:t>，低于近一年10%分位水平</w:t>
      </w:r>
    </w:p>
    <w:p>
      <w:r>
        <w:rPr>
          <w:rFonts w:ascii="Microsoft YaHei" w:hAnsi="Microsoft YaHei"/>
        </w:rPr>
        <w:t>&gt; 融资余额占比处于历史低位，说明杠杆资金参与度极低，后续若股价企稳回升，融资回补空间较大。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1.72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布林带中轨（估算）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价格在布林带位置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上轨与中轨之间（偏上）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1.69元</w:t>
      </w:r>
      <w:r>
        <w:rPr>
          <w:rFonts w:ascii="Microsoft YaHei" w:hAnsi="Microsoft YaHei"/>
        </w:rPr>
        <w:t xml:space="preserve"> 站稳于布林带中轨（约1.66）之上，并向布林带上轨（1.72）靠拢，偏离度计算：</w:t>
      </w:r>
      <w:r>
        <w:rPr>
          <w:rFonts w:ascii="Microsoft YaHei" w:hAnsi="Microsoft YaHei"/>
          <w:b/>
          <w:color w:val="1A1A1A"/>
        </w:rPr>
        <w:t>(1.69-1.60)/(1.72-1.60)=75%</w:t>
      </w:r>
      <w:r>
        <w:rPr>
          <w:rFonts w:ascii="Microsoft YaHei" w:hAnsi="Microsoft YaHei"/>
        </w:rPr>
        <w:t>，处于强势区域但尚未触及上轨压力。</w:t>
      </w:r>
    </w:p>
    <w:p>
      <w:pPr>
        <w:pStyle w:val="ListBullet"/>
      </w:pPr>
      <w:r>
        <w:rPr>
          <w:rFonts w:ascii="Microsoft YaHei" w:hAnsi="Microsoft YaHei"/>
        </w:rPr>
        <w:t xml:space="preserve">若午后量能持续配合，有望挑战 </w:t>
      </w:r>
      <w:r>
        <w:rPr>
          <w:rFonts w:ascii="Microsoft YaHei" w:hAnsi="Microsoft YaHei"/>
          <w:b/>
          <w:color w:val="1A1A1A"/>
        </w:rPr>
        <w:t>1.72元布林带上轨</w:t>
      </w:r>
      <w:r>
        <w:rPr>
          <w:rFonts w:ascii="Microsoft YaHei" w:hAnsi="Microsoft YaHei"/>
        </w:rPr>
        <w:t xml:space="preserve">；若遇阻回落，下方支撑先看 </w:t>
      </w:r>
      <w:r>
        <w:rPr>
          <w:rFonts w:ascii="Microsoft YaHei" w:hAnsi="Microsoft YaHei"/>
          <w:b/>
          <w:color w:val="1A1A1A"/>
        </w:rPr>
        <w:t>1.66元（中轨）</w:t>
      </w:r>
      <w:r>
        <w:rPr>
          <w:rFonts w:ascii="Microsoft YaHei" w:hAnsi="Microsoft YaHei"/>
        </w:rPr>
        <w:t xml:space="preserve">，强支撑在 </w:t>
      </w:r>
      <w:r>
        <w:rPr>
          <w:rFonts w:ascii="Microsoft YaHei" w:hAnsi="Microsoft YaHei"/>
          <w:b/>
          <w:color w:val="1A1A1A"/>
        </w:rPr>
        <w:t>1.60元（下轨）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早盘振幅3.03%，波动温和，多空分歧不大。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重点资讯解读</w:t>
      </w:r>
    </w:p>
    <w:p>
      <w:r>
        <w:rPr>
          <w:rFonts w:ascii="Microsoft YaHei" w:hAnsi="Microsoft YaHei"/>
          <w:b/>
          <w:color w:val="1A1A1A"/>
        </w:rPr>
        <w:t>1. 融资数据利好（来源：sinafin a_01）</w:t>
      </w:r>
    </w:p>
    <w:p>
      <w:r>
        <w:rPr>
          <w:rFonts w:ascii="Microsoft YaHei" w:hAnsi="Microsoft YaHei"/>
        </w:rPr>
        <w:t xml:space="preserve">7月28日获融资买入 </w:t>
      </w:r>
      <w:r>
        <w:rPr>
          <w:rFonts w:ascii="Microsoft YaHei" w:hAnsi="Microsoft YaHei"/>
          <w:b/>
          <w:color w:val="1A1A1A"/>
        </w:rPr>
        <w:t>1,009.66万元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5.45亿元</w:t>
      </w:r>
      <w:r>
        <w:rPr>
          <w:rFonts w:ascii="Microsoft YaHei" w:hAnsi="Microsoft YaHei"/>
        </w:rPr>
        <w:t>，占流通市值比例4.70%，</w:t>
      </w:r>
      <w:r>
        <w:rPr>
          <w:rFonts w:ascii="Microsoft YaHei" w:hAnsi="Microsoft YaHei"/>
          <w:b/>
          <w:color w:val="1A1A1A"/>
        </w:rPr>
        <w:t>低于近一年10%分位水平</w:t>
      </w:r>
      <w:r>
        <w:rPr>
          <w:rFonts w:ascii="Microsoft YaHei" w:hAnsi="Microsoft YaHei"/>
        </w:rPr>
        <w:t>。表明当前融资客持仓处于极低位置，后续若市场情绪回暖，融资回补有望提供增量资金。</w:t>
      </w:r>
    </w:p>
    <w:p>
      <w:r>
        <w:rPr>
          <w:rFonts w:ascii="Microsoft YaHei" w:hAnsi="Microsoft YaHei"/>
          <w:b/>
          <w:color w:val="1A1A1A"/>
        </w:rPr>
        <w:t>2. 互动问答：业务收入细分（来源：qnainfo a_01）</w:t>
      </w:r>
    </w:p>
    <w:p>
      <w:r>
        <w:rPr>
          <w:rFonts w:ascii="Microsoft YaHei" w:hAnsi="Microsoft YaHei"/>
        </w:rPr>
        <w:t>投资者询问旅游综合收入与房地产收入的细分构成，公司指引关注年报/半年报——此为常规回应，无重大信息增量。</w:t>
      </w:r>
    </w:p>
    <w:p>
      <w:r>
        <w:rPr>
          <w:rFonts w:ascii="Microsoft YaHei" w:hAnsi="Microsoft YaHei"/>
          <w:b/>
          <w:color w:val="1A1A1A"/>
        </w:rPr>
        <w:t>3. 互动问答：深圳欢乐谷噪声治理（来源：qnainfo a_02）</w:t>
      </w:r>
    </w:p>
    <w:p>
      <w:r>
        <w:rPr>
          <w:rFonts w:ascii="Microsoft YaHei" w:hAnsi="Microsoft YaHei"/>
        </w:rPr>
        <w:t>公司回应已从设备声学优化、运营管控等多方面落实降噪举措，体现对社区责任的重视。影响较小，偏正面。</w:t>
      </w:r>
    </w:p>
    <w:p>
      <w:r>
        <w:rPr>
          <w:rFonts w:ascii="Microsoft YaHei" w:hAnsi="Microsoft YaHei"/>
          <w:b/>
          <w:color w:val="1A1A1A"/>
        </w:rPr>
        <w:t>4. 互动问答：锦绣花园电梯维保（来源：qnainfo a_03/a_04）</w:t>
      </w:r>
    </w:p>
    <w:p>
      <w:r>
        <w:rPr>
          <w:rFonts w:ascii="Microsoft YaHei" w:hAnsi="Microsoft YaHei"/>
        </w:rPr>
        <w:t>公司详细解释维保单位调整系公开招采结果，符合《特种设备安全法》要求。属于物业管理的日常事务，对股价无明显影响。</w:t>
      </w:r>
    </w:p>
    <w:p>
      <w:r>
        <w:rPr>
          <w:rFonts w:ascii="Microsoft YaHei" w:hAnsi="Microsoft YaHei"/>
          <w:b/>
          <w:color w:val="1A1A1A"/>
        </w:rPr>
        <w:t>5. ⭐ 长鑫科技上市与合肥楼市联动（来源：sinafin a_07/a_08）——核心关注</w:t>
      </w:r>
    </w:p>
    <w:p>
      <w:r>
        <w:rPr>
          <w:rFonts w:ascii="Microsoft YaHei" w:hAnsi="Microsoft YaHei"/>
        </w:rPr>
        <w:t>这两篇文章详细分析了长鑫科技（688825.SH）登陆科创板对合肥当地楼市的潜在影响，</w:t>
      </w:r>
      <w:r>
        <w:rPr>
          <w:rFonts w:ascii="Microsoft YaHei" w:hAnsi="Microsoft YaHei"/>
          <w:b/>
          <w:color w:val="1A1A1A"/>
        </w:rPr>
        <w:t>直接提及华侨城在合肥的"华侨城国际小镇"项目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华侨城国际小镇</w:t>
      </w:r>
      <w:r>
        <w:rPr>
          <w:rFonts w:ascii="Microsoft YaHei" w:hAnsi="Microsoft YaHei"/>
        </w:rPr>
        <w:t xml:space="preserve">位于长鑫科技总部附近，是长岗片区唯一商品房项目，前期主要面向长鑫科技员工销售（售价1.2-1.4万/㎡），目前已全面放开销售，洋房均价约 </w:t>
      </w:r>
      <w:r>
        <w:rPr>
          <w:rFonts w:ascii="Microsoft YaHei" w:hAnsi="Microsoft YaHei"/>
          <w:b/>
          <w:color w:val="1A1A1A"/>
        </w:rPr>
        <w:t>8,000元/㎡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项目曾一度停工，二期土地被收回，目前已复工并恢复销售，但</w:t>
      </w:r>
      <w:r>
        <w:rPr>
          <w:rFonts w:ascii="Microsoft YaHei" w:hAnsi="Microsoft YaHei"/>
          <w:b/>
          <w:color w:val="1A1A1A"/>
        </w:rPr>
        <w:t>整体去化偏慢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周边租赁市场极度火爆（"一房难求"），但</w:t>
      </w:r>
      <w:r>
        <w:rPr>
          <w:rFonts w:ascii="Microsoft YaHei" w:hAnsi="Microsoft YaHei"/>
          <w:b/>
          <w:color w:val="1A1A1A"/>
        </w:rPr>
        <w:t>购买市场活跃度有限</w:t>
      </w:r>
      <w:r>
        <w:rPr>
          <w:rFonts w:ascii="Microsoft YaHei" w:hAnsi="Microsoft YaHei"/>
        </w:rPr>
        <w:t>，二手房成交价约5,000元/㎡，买卖并不活跃。</w:t>
      </w:r>
    </w:p>
    <w:p>
      <w:pPr>
        <w:pStyle w:val="ListBullet"/>
      </w:pPr>
      <w:r>
        <w:rPr>
          <w:rFonts w:ascii="Microsoft YaHei" w:hAnsi="Microsoft YaHei"/>
        </w:rPr>
        <w:t>长鑫科技上市后市值超3万亿，员工持股计划覆盖6,760人次，</w:t>
      </w:r>
      <w:r>
        <w:rPr>
          <w:rFonts w:ascii="Microsoft YaHei" w:hAnsi="Microsoft YaHei"/>
          <w:b/>
          <w:color w:val="1A1A1A"/>
        </w:rPr>
        <w:t>造富效应理论上利好周边住宅需求</w:t>
      </w:r>
      <w:r>
        <w:rPr>
          <w:rFonts w:ascii="Microsoft YaHei" w:hAnsi="Microsoft YaHei"/>
        </w:rPr>
        <w:t>，但文章指出从财富兑现到购房落地存在时滞，且部分需求已在补贴政策退出前提前释放。</w:t>
      </w:r>
    </w:p>
    <w:p>
      <w:r>
        <w:rPr>
          <w:rFonts w:ascii="Microsoft YaHei" w:hAnsi="Microsoft YaHei"/>
          <w:b/>
          <w:color w:val="1A1A1A"/>
        </w:rPr>
        <w:t>综合评估</w:t>
      </w:r>
      <w:r>
        <w:rPr>
          <w:rFonts w:ascii="Microsoft YaHei" w:hAnsi="Microsoft YaHei"/>
        </w:rPr>
        <w:t>：长鑫科技上市对华侨城合肥项目构成</w:t>
      </w:r>
      <w:r>
        <w:rPr>
          <w:rFonts w:ascii="Microsoft YaHei" w:hAnsi="Microsoft YaHei"/>
          <w:b/>
          <w:color w:val="1A1A1A"/>
        </w:rPr>
        <w:t>中长期利好</w:t>
      </w:r>
      <w:r>
        <w:rPr>
          <w:rFonts w:ascii="Microsoft YaHei" w:hAnsi="Microsoft YaHei"/>
        </w:rPr>
        <w:t>，但短期转化为实际销售收入的幅度有限。华侨城在合肥的房地产项目体量较小，对上市公司整体业绩的拉动作用需进一步观察。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商业零售板块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+2.27%</w:t>
            </w:r>
            <w:r>
              <w:rPr>
                <w:rFonts w:ascii="Microsoft YaHei" w:hAnsi="Microsoft YaHei"/>
                <w:sz w:val="18"/>
              </w:rPr>
              <w:t>（上海推进国际消费中心城市建设）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房地产板块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整体温和，未出现板块性爆发</w:t>
            </w:r>
          </w:p>
        </w:tc>
      </w:tr>
    </w:tbl>
    <w:p/>
    <w:p>
      <w:r>
        <w:rPr>
          <w:rFonts w:ascii="Microsoft YaHei" w:hAnsi="Microsoft YaHei"/>
        </w:rPr>
        <w:t>华侨城主营业务横跨</w:t>
      </w:r>
      <w:r>
        <w:rPr>
          <w:rFonts w:ascii="Microsoft YaHei" w:hAnsi="Microsoft YaHei"/>
          <w:b/>
          <w:color w:val="1A1A1A"/>
        </w:rPr>
        <w:t>房地产+文旅</w:t>
      </w:r>
      <w:r>
        <w:rPr>
          <w:rFonts w:ascii="Microsoft YaHei" w:hAnsi="Microsoft YaHei"/>
        </w:rPr>
        <w:t>两大领域，今日商业零售板块表现活跃（+2.27%）对消费服务类股票有一定带动作用，但华侨城的核心逻辑仍需看房地产政策面及公司自身经营改善节奏。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短线维度</w:t>
      </w:r>
      <w:r>
        <w:rPr>
          <w:rFonts w:ascii="Microsoft YaHei" w:hAnsi="Microsoft YaHei"/>
        </w:rPr>
        <w:t xml:space="preserve">：早盘股价 </w:t>
      </w:r>
      <w:r>
        <w:rPr>
          <w:rFonts w:ascii="Microsoft YaHei" w:hAnsi="Microsoft YaHei"/>
          <w:b/>
          <w:color w:val="1A1A1A"/>
        </w:rPr>
        <w:t>+2.42%</w:t>
      </w:r>
      <w:r>
        <w:rPr>
          <w:rFonts w:ascii="Microsoft YaHei" w:hAnsi="Microsoft YaHei"/>
        </w:rPr>
        <w:t xml:space="preserve">，资金呈 </w:t>
      </w:r>
      <w:r>
        <w:rPr>
          <w:rFonts w:ascii="Microsoft YaHei" w:hAnsi="Microsoft YaHei"/>
          <w:b/>
          <w:color w:val="1A1A1A"/>
        </w:rPr>
        <w:t>净流入3,878万元</w:t>
      </w:r>
      <w:r>
        <w:rPr>
          <w:rFonts w:ascii="Microsoft YaHei" w:hAnsi="Microsoft YaHei"/>
        </w:rPr>
        <w:t xml:space="preserve">，其中大单占比超90%，显示主力资金主动介入意愿较强。技术面上股价运行于布林带中轨至上轨之间，短期动能偏强，午后关注 </w:t>
      </w:r>
      <w:r>
        <w:rPr>
          <w:rFonts w:ascii="Microsoft YaHei" w:hAnsi="Microsoft YaHei"/>
          <w:b/>
          <w:color w:val="1A1A1A"/>
        </w:rPr>
        <w:t>1.72元（布林上轨）压力位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资金维度</w:t>
      </w:r>
      <w:r>
        <w:rPr>
          <w:rFonts w:ascii="Microsoft YaHei" w:hAnsi="Microsoft YaHei"/>
        </w:rPr>
        <w:t>：融资余额处于近一年极低分位（&lt;10%），说明杠杆资金几乎"出清"，这往往是底部区域的信号之一。今日量能温和放大（量比1.06），换手率0.82%较昨日提升，交投活跃度改善。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基本面维度</w:t>
      </w:r>
      <w:r>
        <w:rPr>
          <w:rFonts w:ascii="Microsoft YaHei" w:hAnsi="Microsoft YaHei"/>
        </w:rPr>
        <w:t>：市净率0.40倍、动态PE为负，反映公司仍处于亏损与资产折价阶段。合肥长鑫科技上市对当地楼市的带动属于</w:t>
      </w:r>
      <w:r>
        <w:rPr>
          <w:rFonts w:ascii="Microsoft YaHei" w:hAnsi="Microsoft YaHei"/>
          <w:b/>
          <w:color w:val="1A1A1A"/>
        </w:rPr>
        <w:t>中长期预期改善</w:t>
      </w:r>
      <w:r>
        <w:rPr>
          <w:rFonts w:ascii="Microsoft YaHei" w:hAnsi="Microsoft YaHei"/>
        </w:rPr>
        <w:t>，短期难以实质提振业绩。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：公司持续亏损、市净率极低、项目去化偏慢等问题尚未根本改善。今日上涨更多是跟随市场情绪回暖及低位资金回补，持续性有待观察。</w:t>
      </w:r>
    </w:p>
    <w:p>
      <w:r>
        <w:rPr>
          <w:rFonts w:ascii="Microsoft YaHei" w:hAnsi="Microsoft YaHei"/>
          <w:b/>
          <w:color w:val="1A1A1A"/>
        </w:rPr>
        <w:t>综合评级</w:t>
      </w:r>
      <w:r>
        <w:rPr>
          <w:rFonts w:ascii="Microsoft YaHei" w:hAnsi="Microsoft YaHei"/>
        </w:rPr>
        <w:t xml:space="preserve">：短线技术面与资金面共振偏强，但基本面尚未出现拐点信号。建议投资者关注午后能否站稳 </w:t>
      </w:r>
      <w:r>
        <w:rPr>
          <w:rFonts w:ascii="Microsoft YaHei" w:hAnsi="Microsoft YaHei"/>
          <w:b/>
          <w:color w:val="1A1A1A"/>
        </w:rPr>
        <w:t>1.70元上方</w:t>
      </w:r>
      <w:r>
        <w:rPr>
          <w:rFonts w:ascii="Microsoft YaHei" w:hAnsi="Microsoft YaHei"/>
        </w:rPr>
        <w:t>，以及后续地产政策催化与公司中报业绩披露情况。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华侨城A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