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正文获取超时，但标题和摘要信息已足够支撑分析。以下为基于现有数据的完整午间分析报告。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华泰证券（601688.SH）午间分析报告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：2026年7月27日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今日全市场整体情绪中性偏暖。上证50样本股板块大涨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，沪深300样本股板块上涨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，大盘蓝筹风格明显占优。全市场成交额约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，较上一交易日缩量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；上涨个股2,603只，下跌2,769只，涨跌比接近1:1，赚钱效应为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。涨停梯队方面，一板45只（晋级率13%），高度板仅2只，显示短线游资活跃度一般，市场风格更偏向权重蓝筹。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20.47元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19.98 / 20.57 / 19.92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1.27%</w:t>
            </w:r>
            <w:r>
              <w:rPr>
                <w:rFonts w:ascii="Microsoft YaHei" w:hAnsi="Microsoft YaHei"/>
                <w:sz w:val="18"/>
              </w:rPr>
              <w:t xml:space="preserve">（昨日全天仅0.67%，半日已放量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1.89倍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1,847.8亿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1,495.69亿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：华泰证券今日跳空高开（开盘19.98元，较昨收19.87元高开0.55%），随后震荡走高，盘中最高触及 </w:t>
      </w:r>
      <w:r>
        <w:rPr>
          <w:rFonts w:ascii="Microsoft YaHei" w:hAnsi="Microsoft YaHei"/>
          <w:b/>
          <w:color w:val="1A1A1A"/>
        </w:rPr>
        <w:t>20.57元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20.47元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+3.02%</w:t>
      </w:r>
      <w:r>
        <w:rPr>
          <w:rFonts w:ascii="Microsoft YaHei" w:hAnsi="Microsoft YaHei"/>
        </w:rPr>
        <w:t xml:space="preserve">。半日成交量已达 </w:t>
      </w:r>
      <w:r>
        <w:rPr>
          <w:rFonts w:ascii="Microsoft YaHei" w:hAnsi="Microsoft YaHei"/>
          <w:b/>
          <w:color w:val="1A1A1A"/>
        </w:rPr>
        <w:t>92.49万手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1.88亿元</w:t>
      </w:r>
      <w:r>
        <w:rPr>
          <w:rFonts w:ascii="Microsoft YaHei" w:hAnsi="Microsoft YaHei"/>
        </w:rPr>
        <w:t xml:space="preserve">，较昨日全天换手率（0.67%）放大约 </w:t>
      </w:r>
      <w:r>
        <w:rPr>
          <w:rFonts w:ascii="Microsoft YaHei" w:hAnsi="Microsoft YaHei"/>
          <w:b/>
          <w:color w:val="1A1A1A"/>
        </w:rPr>
        <w:t>1.89倍</w:t>
      </w:r>
      <w:r>
        <w:rPr>
          <w:rFonts w:ascii="Microsoft YaHei" w:hAnsi="Microsoft YaHei"/>
        </w:rPr>
        <w:t>，呈现明显的放量上攻态势。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9.62倍</w:t>
      </w:r>
      <w:r>
        <w:rPr>
          <w:rFonts w:ascii="Microsoft YaHei" w:hAnsi="Microsoft YaHei"/>
        </w:rPr>
        <w:t xml:space="preserve">，PB为 </w:t>
      </w:r>
      <w:r>
        <w:rPr>
          <w:rFonts w:ascii="Microsoft YaHei" w:hAnsi="Microsoft YaHei"/>
          <w:b/>
          <w:color w:val="1A1A1A"/>
        </w:rPr>
        <w:t>1.04倍</w:t>
      </w:r>
      <w:r>
        <w:rPr>
          <w:rFonts w:ascii="Microsoft YaHei" w:hAnsi="Microsoft YaHei"/>
        </w:rPr>
        <w:t>，处于历史估值低位区间，具备较高的安全边际。</w:t>
      </w:r>
    </w:p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500,975手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423,892手</w:t>
      </w:r>
      <w:r>
        <w:rPr>
          <w:rFonts w:ascii="Microsoft YaHei" w:hAnsi="Microsoft YaHei"/>
        </w:rPr>
        <w:t xml:space="preserve">（外盘占比 </w:t>
      </w:r>
      <w:r>
        <w:rPr>
          <w:rFonts w:ascii="Microsoft YaHei" w:hAnsi="Microsoft YaHei"/>
          <w:b/>
          <w:color w:val="1A1A1A"/>
        </w:rPr>
        <w:t>54.2%</w:t>
      </w:r>
      <w:r>
        <w:rPr>
          <w:rFonts w:ascii="Microsoft YaHei" w:hAnsi="Microsoft YaHei"/>
        </w:rPr>
        <w:t>），主动买盘力量占优，与股价上涨方向一致。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净流出1.05亿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123分钟 / 115分钟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604.9万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3,956.7万</w:t>
            </w:r>
          </w:p>
        </w:tc>
      </w:tr>
    </w:tbl>
    <w:p/>
    <w:p>
      <w:r>
        <w:rPr>
          <w:rFonts w:ascii="Microsoft YaHei" w:hAnsi="Microsoft YaHei"/>
        </w:rPr>
        <w:t xml:space="preserve">尽管股价上涨 </w:t>
      </w:r>
      <w:r>
        <w:rPr>
          <w:rFonts w:ascii="Microsoft YaHei" w:hAnsi="Microsoft YaHei"/>
          <w:b/>
          <w:color w:val="1A1A1A"/>
        </w:rPr>
        <w:t>+3.02%</w:t>
      </w:r>
      <w:r>
        <w:rPr>
          <w:rFonts w:ascii="Microsoft YaHei" w:hAnsi="Microsoft YaHei"/>
        </w:rPr>
        <w:t xml:space="preserve">，但盘中资金呈 </w:t>
      </w:r>
      <w:r>
        <w:rPr>
          <w:rFonts w:ascii="Microsoft YaHei" w:hAnsi="Microsoft YaHei"/>
          <w:b/>
          <w:color w:val="1A1A1A"/>
        </w:rPr>
        <w:t>净流出1.05亿</w:t>
      </w:r>
      <w:r>
        <w:rPr>
          <w:rFonts w:ascii="Microsoft YaHei" w:hAnsi="Microsoft YaHei"/>
        </w:rPr>
        <w:t xml:space="preserve"> 态势，且最大单分钟流出（3,956.7万）远超最大单分钟流入（604.9万），呈现 </w:t>
      </w:r>
      <w:r>
        <w:rPr>
          <w:rFonts w:ascii="Microsoft YaHei" w:hAnsi="Microsoft YaHei"/>
          <w:b/>
          <w:color w:val="1A1A1A"/>
        </w:rPr>
        <w:t>"价涨量出货"</w:t>
      </w:r>
      <w:r>
        <w:rPr>
          <w:rFonts w:ascii="Microsoft YaHei" w:hAnsi="Microsoft YaHei"/>
        </w:rPr>
        <w:t xml:space="preserve"> 特征，多空分歧较大，短线获利盘有兑现迹象。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 xml:space="preserve">前一交易日大单净流出 </w:t>
      </w:r>
      <w:r>
        <w:rPr>
          <w:rFonts w:ascii="Microsoft YaHei" w:hAnsi="Microsoft YaHei"/>
          <w:b/>
          <w:color w:val="1A1A1A"/>
        </w:rPr>
        <w:t>1.04亿</w:t>
      </w:r>
      <w:r>
        <w:rPr>
          <w:rFonts w:ascii="Microsoft YaHei" w:hAnsi="Microsoft YaHei"/>
        </w:rPr>
        <w:t xml:space="preserve">，小单净流入 </w:t>
      </w:r>
      <w:r>
        <w:rPr>
          <w:rFonts w:ascii="Microsoft YaHei" w:hAnsi="Microsoft YaHei"/>
          <w:b/>
          <w:color w:val="1A1A1A"/>
        </w:rPr>
        <w:t>0.30亿</w:t>
      </w:r>
      <w:r>
        <w:rPr>
          <w:rFonts w:ascii="Microsoft YaHei" w:hAnsi="Microsoft YaHei"/>
        </w:rPr>
        <w:t>，显示主力资金在前序交易日已持续减仓。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68.40亿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+0.21%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0.13亿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-1.24%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</w:rPr>
        <w:t>融资余额小幅增加，融券余额缩减，杠杆资金整体看多情绪有所回升。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与当前价（20.47）关系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20.65元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</w:t>
            </w:r>
            <w:r>
              <w:rPr>
                <w:rFonts w:ascii="Microsoft YaHei" w:hAnsi="Microsoft YaHei"/>
                <w:sz w:val="18"/>
              </w:rPr>
              <w:t xml:space="preserve"> MA5约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0.87%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20.38元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高于</w:t>
            </w:r>
            <w:r>
              <w:rPr>
                <w:rFonts w:ascii="Microsoft YaHei" w:hAnsi="Microsoft YaHei"/>
                <w:sz w:val="18"/>
              </w:rPr>
              <w:t xml:space="preserve"> MA10约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0.44%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20.58元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</w:t>
            </w:r>
            <w:r>
              <w:rPr>
                <w:rFonts w:ascii="Microsoft YaHei" w:hAnsi="Microsoft YaHei"/>
                <w:sz w:val="18"/>
              </w:rPr>
              <w:t xml:space="preserve"> 中轨约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0.53%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21.54元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19.62元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20.47元</w:t>
      </w:r>
      <w:r>
        <w:rPr>
          <w:rFonts w:ascii="Microsoft YaHei" w:hAnsi="Microsoft YaHei"/>
        </w:rPr>
        <w:t xml:space="preserve"> 位于MA10（20.38元）之上，但受制于MA5（20.65元）和MA20（20.58元），呈现 </w:t>
      </w:r>
      <w:r>
        <w:rPr>
          <w:rFonts w:ascii="Microsoft YaHei" w:hAnsi="Microsoft YaHei"/>
          <w:b/>
          <w:color w:val="1A1A1A"/>
        </w:rPr>
        <w:t>"夹缝中运行"</w:t>
      </w:r>
      <w:r>
        <w:rPr>
          <w:rFonts w:ascii="Microsoft YaHei" w:hAnsi="Microsoft YaHei"/>
        </w:rPr>
        <w:t xml:space="preserve"> 的格局。</w:t>
      </w:r>
    </w:p>
    <w:p>
      <w:pPr>
        <w:pStyle w:val="ListBullet"/>
      </w:pPr>
      <w:r>
        <w:rPr>
          <w:rFonts w:ascii="Microsoft YaHei" w:hAnsi="Microsoft YaHei"/>
        </w:rPr>
        <w:t xml:space="preserve">布林带宽度（21.54 - 19.62）约为 </w:t>
      </w:r>
      <w:r>
        <w:rPr>
          <w:rFonts w:ascii="Microsoft YaHei" w:hAnsi="Microsoft YaHei"/>
          <w:b/>
          <w:color w:val="1A1A1A"/>
        </w:rPr>
        <w:t>1.92元</w:t>
      </w:r>
      <w:r>
        <w:rPr>
          <w:rFonts w:ascii="Microsoft YaHei" w:hAnsi="Microsoft YaHei"/>
        </w:rPr>
        <w:t>，当前价处于中轨附近偏下位置，布林带开口无明显扩张，尚未形成明确的趋势突破信号。</w:t>
      </w:r>
    </w:p>
    <w:p>
      <w:pPr>
        <w:pStyle w:val="ListBullet"/>
      </w:pPr>
      <w:r>
        <w:rPr>
          <w:rFonts w:ascii="Microsoft YaHei" w:hAnsi="Microsoft YaHei"/>
        </w:rPr>
        <w:t xml:space="preserve">盘中最高 </w:t>
      </w:r>
      <w:r>
        <w:rPr>
          <w:rFonts w:ascii="Microsoft YaHei" w:hAnsi="Microsoft YaHei"/>
          <w:b/>
          <w:color w:val="1A1A1A"/>
        </w:rPr>
        <w:t>20.57元</w:t>
      </w:r>
      <w:r>
        <w:rPr>
          <w:rFonts w:ascii="Microsoft YaHei" w:hAnsi="Microsoft YaHei"/>
        </w:rPr>
        <w:t xml:space="preserve"> 已触及MA20（20.58元）附近，若午后能有效站稳 </w:t>
      </w:r>
      <w:r>
        <w:rPr>
          <w:rFonts w:ascii="Microsoft YaHei" w:hAnsi="Microsoft YaHei"/>
          <w:b/>
          <w:color w:val="1A1A1A"/>
        </w:rPr>
        <w:t>20.58元</w:t>
      </w:r>
      <w:r>
        <w:rPr>
          <w:rFonts w:ascii="Microsoft YaHei" w:hAnsi="Microsoft YaHei"/>
        </w:rPr>
        <w:t xml:space="preserve"> 上方，则有望打开向上空间，挑战MA5的20.65元及布林带上轨21.54元。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行业层面利好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券商"中期分红"时代来临</w:t>
      </w:r>
      <w:r>
        <w:rPr>
          <w:rFonts w:ascii="Microsoft YaHei" w:hAnsi="Microsoft YaHei"/>
        </w:rPr>
        <w:t>（文章ID: a_02）</w:t>
      </w:r>
    </w:p>
    <w:p>
      <w:r>
        <w:rPr>
          <w:rFonts w:ascii="Microsoft YaHei" w:hAnsi="Microsoft YaHei"/>
        </w:rPr>
        <w:t xml:space="preserve">   券商行业集体推进中期分红，华泰证券作为头部券商有望参与其中。中期分红将提升投资者回报预期，增强股价吸引力，对估值修复形成正面催化。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创业板指涨逾2%，市场情绪回暖</w:t>
      </w:r>
    </w:p>
    <w:p>
      <w:r>
        <w:rPr>
          <w:rFonts w:ascii="Microsoft YaHei" w:hAnsi="Microsoft YaHei"/>
        </w:rPr>
        <w:t xml:space="preserve">   今日早盘创业板指涨逾2%，房地产、金融等板块涨幅居前。华泰证券作为券商龙头，直接受益于市场活跃度提升和指数上涨带来的经纪、自营业务弹性。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早间新闻要点（间接影响）</w:t>
      </w:r>
    </w:p>
    <w:p>
      <w:r>
        <w:rPr>
          <w:rFonts w:ascii="Microsoft YaHei" w:hAnsi="Microsoft YaHei"/>
        </w:rPr>
        <w:t xml:space="preserve">   - 长鑫科技登陆科创板（融资579亿元）——IPO融资活跃利好券商投行业务</w:t>
      </w:r>
    </w:p>
    <w:p>
      <w:r>
        <w:rPr>
          <w:rFonts w:ascii="Microsoft YaHei" w:hAnsi="Microsoft YaHei"/>
        </w:rPr>
        <w:t xml:space="preserve">   - 宁德时代大手笔回购200-400亿元——提振市场信心</w:t>
      </w:r>
    </w:p>
    <w:p>
      <w:r>
        <w:rPr>
          <w:rFonts w:ascii="Microsoft YaHei" w:hAnsi="Microsoft YaHei"/>
        </w:rPr>
        <w:t xml:space="preserve">   - 证监会原副主席方星海被查——金融反腐深化，中长期利好合规运营的头部券商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个股层面相关动态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华泰人寿慰问活动</w:t>
      </w:r>
      <w:r>
        <w:rPr>
          <w:rFonts w:ascii="Microsoft YaHei" w:hAnsi="Microsoft YaHei"/>
        </w:rPr>
        <w:t xml:space="preserve">（a_04）与 </w:t>
      </w:r>
      <w:r>
        <w:rPr>
          <w:rFonts w:ascii="Microsoft YaHei" w:hAnsi="Microsoft YaHei"/>
          <w:b/>
          <w:color w:val="1A1A1A"/>
        </w:rPr>
        <w:t>《全生命周期健康管理趋势洞察》发布</w:t>
      </w:r>
      <w:r>
        <w:rPr>
          <w:rFonts w:ascii="Microsoft YaHei" w:hAnsi="Microsoft YaHei"/>
        </w:rPr>
        <w:t>（a_09）：华泰人寿作为华泰证券旗下子公司，此类品牌建设与行业研究活动有助于提升集团整体品牌价值，但对股价的短期直接影响有限。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32/55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105/319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金融服务Ⅱ(A股)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6/74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资本市场(A股)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+1.47%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投资银行业与经纪业(A股)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+1.63%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5/48</w:t>
            </w:r>
          </w:p>
        </w:tc>
      </w:tr>
    </w:tbl>
    <w:p/>
    <w:p>
      <w:r>
        <w:rPr>
          <w:rFonts w:ascii="Microsoft YaHei" w:hAnsi="Microsoft YaHei"/>
        </w:rPr>
        <w:t xml:space="preserve">华泰证券在券商及金融服务板块中排名 </w:t>
      </w:r>
      <w:r>
        <w:rPr>
          <w:rFonts w:ascii="Microsoft YaHei" w:hAnsi="Microsoft YaHei"/>
          <w:b/>
          <w:color w:val="1A1A1A"/>
        </w:rPr>
        <w:t>前10%</w:t>
      </w:r>
      <w:r>
        <w:rPr>
          <w:rFonts w:ascii="Microsoft YaHei" w:hAnsi="Microsoft YaHei"/>
        </w:rPr>
        <w:t xml:space="preserve">，表现强于绝大多数同业。板块内领涨标的为广发证券（+5.19%）、湘财股份（+4.95%）、国泰海通（+3.99%），华泰证券（+3.02%）紧随其后，处于板块 </w:t>
      </w:r>
      <w:r>
        <w:rPr>
          <w:rFonts w:ascii="Microsoft YaHei" w:hAnsi="Microsoft YaHei"/>
          <w:b/>
          <w:color w:val="1A1A1A"/>
        </w:rPr>
        <w:t>中上水平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上证50样本股上涨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，是今日市场最强的核心宽基指数，华泰证券作为上证50成分股，受益于蓝筹风格行情的扩散效应。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趋势方向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⬆ 偏多，放量站上MA10，尝试挑战MA5/MA20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中性偏谨慎，盘中呈净流出，价涨量出货迹象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估值安全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低估值（PE 9.62x，PB 1.04x），安全边际充足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强，金融蓝筹集体走强，上证50领涨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催化剂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券商中期分红预期 + 市场活跃度回暖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华泰证券今日半日放量 </w:t>
      </w:r>
      <w:r>
        <w:rPr>
          <w:rFonts w:ascii="Microsoft YaHei" w:hAnsi="Microsoft YaHei"/>
          <w:b/>
          <w:color w:val="1A1A1A"/>
        </w:rPr>
        <w:t>+3.02%</w:t>
      </w:r>
      <w:r>
        <w:rPr>
          <w:rFonts w:ascii="Microsoft YaHei" w:hAnsi="Microsoft YaHei"/>
        </w:rPr>
        <w:t xml:space="preserve">，在外围市场情绪回暖、金融蓝筹领涨的背景下，延续了估值修复行情。当前 </w:t>
      </w:r>
      <w:r>
        <w:rPr>
          <w:rFonts w:ascii="Microsoft YaHei" w:hAnsi="Microsoft YaHei"/>
          <w:b/>
          <w:color w:val="1A1A1A"/>
        </w:rPr>
        <w:t>9.62倍PE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1.04倍PB</w:t>
      </w:r>
      <w:r>
        <w:rPr>
          <w:rFonts w:ascii="Microsoft YaHei" w:hAnsi="Microsoft YaHei"/>
        </w:rPr>
        <w:t xml:space="preserve"> 的估值水平在A股券商板块中处于极低分位，具有明显的估值洼地属性。但需注意盘中资金净流出 </w:t>
      </w:r>
      <w:r>
        <w:rPr>
          <w:rFonts w:ascii="Microsoft YaHei" w:hAnsi="Microsoft YaHei"/>
          <w:b/>
          <w:color w:val="1A1A1A"/>
        </w:rPr>
        <w:t>1.05亿</w:t>
      </w:r>
      <w:r>
        <w:rPr>
          <w:rFonts w:ascii="Microsoft YaHei" w:hAnsi="Microsoft YaHei"/>
        </w:rPr>
        <w:t xml:space="preserve"> 与股价上涨形成背离，说明上方抛压较重，短线追涨需谨慎。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MA20（20.58元）</w:t>
      </w:r>
      <w:r>
        <w:rPr>
          <w:rFonts w:ascii="Microsoft YaHei" w:hAnsi="Microsoft YaHei"/>
        </w:rPr>
        <w:t xml:space="preserve"> 上方，若突破则下一目标看 </w:t>
      </w:r>
      <w:r>
        <w:rPr>
          <w:rFonts w:ascii="Microsoft YaHei" w:hAnsi="Microsoft YaHei"/>
          <w:b/>
          <w:color w:val="1A1A1A"/>
        </w:rPr>
        <w:t>MA5（20.65元）</w:t>
      </w:r>
      <w:r>
        <w:rPr>
          <w:rFonts w:ascii="Microsoft YaHei" w:hAnsi="Microsoft YaHei"/>
        </w:rPr>
        <w:t>；</w:t>
      </w:r>
    </w:p>
    <w:p>
      <w:pPr>
        <w:pStyle w:val="ListNumber"/>
      </w:pPr>
      <w:r>
        <w:rPr>
          <w:rFonts w:ascii="Microsoft YaHei" w:hAnsi="Microsoft YaHei"/>
        </w:rPr>
        <w:t xml:space="preserve">午后量能是否能持续放大，量比维持在 </w:t>
      </w:r>
      <w:r>
        <w:rPr>
          <w:rFonts w:ascii="Microsoft YaHei" w:hAnsi="Microsoft YaHei"/>
          <w:b/>
          <w:color w:val="1A1A1A"/>
        </w:rPr>
        <w:t>1.2以上</w:t>
      </w:r>
      <w:r>
        <w:rPr>
          <w:rFonts w:ascii="Microsoft YaHei" w:hAnsi="Microsoft YaHei"/>
        </w:rPr>
        <w:t xml:space="preserve"> 为良性；</w:t>
      </w:r>
    </w:p>
    <w:p>
      <w:pPr>
        <w:pStyle w:val="ListNumber"/>
      </w:pPr>
      <w:r>
        <w:rPr>
          <w:rFonts w:ascii="Microsoft YaHei" w:hAnsi="Microsoft YaHei"/>
        </w:rPr>
        <w:t>关注金融板块整体资金流向变化，谨防冲高回落。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华泰证券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