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天津港（600717.SH）午间分析报告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数据截至：2026年7月29日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全市场情绪回暖，交易活跃。早盘 </w:t>
      </w:r>
      <w:r>
        <w:rPr>
          <w:rFonts w:ascii="Microsoft YaHei" w:hAnsi="Microsoft YaHei"/>
          <w:b/>
          <w:color w:val="1A1A1A"/>
        </w:rPr>
        <w:t>上涨家数 3407 家</w:t>
      </w:r>
      <w:r>
        <w:rPr>
          <w:rFonts w:ascii="Microsoft YaHei" w:hAnsi="Microsoft YaHei"/>
        </w:rPr>
        <w:t xml:space="preserve">，下跌 2025 家，涨停 57 只，跌停 18 只。市场热度指数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。全市场成交额达 </w:t>
      </w:r>
      <w:r>
        <w:rPr>
          <w:rFonts w:ascii="Microsoft YaHei" w:hAnsi="Microsoft YaHei"/>
          <w:b/>
          <w:color w:val="1A1A1A"/>
        </w:rPr>
        <w:t>1.46 万亿元</w:t>
      </w:r>
      <w:r>
        <w:rPr>
          <w:rFonts w:ascii="Microsoft YaHei" w:hAnsi="Microsoft YaHei"/>
        </w:rPr>
        <w:t xml:space="preserve">，较前一交易日放量 </w:t>
      </w:r>
      <w:r>
        <w:rPr>
          <w:rFonts w:ascii="Microsoft YaHei" w:hAnsi="Microsoft YaHei"/>
          <w:b/>
          <w:color w:val="1A1A1A"/>
        </w:rPr>
        <w:t>+1549 亿元</w:t>
      </w:r>
      <w:r>
        <w:rPr>
          <w:rFonts w:ascii="Microsoft YaHei" w:hAnsi="Microsoft YaHei"/>
        </w:rPr>
        <w:t>，增量资金入场迹象明显。</w:t>
      </w:r>
    </w:p>
    <w:p>
      <w:r>
        <w:rPr>
          <w:rFonts w:ascii="Microsoft YaHei" w:hAnsi="Microsoft YaHei"/>
        </w:rPr>
        <w:t xml:space="preserve">天津港所属的 </w:t>
      </w:r>
      <w:r>
        <w:rPr>
          <w:rFonts w:ascii="Microsoft YaHei" w:hAnsi="Microsoft YaHei"/>
          <w:b/>
          <w:color w:val="1A1A1A"/>
        </w:rPr>
        <w:t>交通基本设施（A股）板块</w:t>
      </w:r>
      <w:r>
        <w:rPr>
          <w:rFonts w:ascii="Microsoft YaHei" w:hAnsi="Microsoft YaHei"/>
        </w:rPr>
        <w:t xml:space="preserve"> 表现强势，板块涨幅 </w:t>
      </w:r>
      <w:r>
        <w:rPr>
          <w:rFonts w:ascii="Microsoft YaHei" w:hAnsi="Microsoft YaHei"/>
          <w:b/>
          <w:color w:val="1A1A1A"/>
        </w:rPr>
        <w:t>+0.87%</w:t>
      </w:r>
      <w:r>
        <w:rPr>
          <w:rFonts w:ascii="Microsoft YaHei" w:hAnsi="Microsoft YaHei"/>
        </w:rPr>
        <w:t xml:space="preserve">，排名全行业第 </w:t>
      </w:r>
      <w:r>
        <w:rPr>
          <w:rFonts w:ascii="Microsoft YaHei" w:hAnsi="Microsoft YaHei"/>
          <w:b/>
          <w:color w:val="1A1A1A"/>
        </w:rPr>
        <w:t>137/1158</w:t>
      </w:r>
      <w:r>
        <w:rPr>
          <w:rFonts w:ascii="Microsoft YaHei" w:hAnsi="Microsoft YaHei"/>
        </w:rPr>
        <w:t xml:space="preserve"> 位（涨 32 / 跌 12）；</w:t>
      </w:r>
      <w:r>
        <w:rPr>
          <w:rFonts w:ascii="Microsoft YaHei" w:hAnsi="Microsoft YaHei"/>
          <w:b/>
          <w:color w:val="1A1A1A"/>
        </w:rPr>
        <w:t>海港与服务（A股）</w:t>
      </w:r>
      <w:r>
        <w:rPr>
          <w:rFonts w:ascii="Microsoft YaHei" w:hAnsi="Microsoft YaHei"/>
        </w:rPr>
        <w:t xml:space="preserve"> 板块同步上扬 </w:t>
      </w:r>
      <w:r>
        <w:rPr>
          <w:rFonts w:ascii="Microsoft YaHei" w:hAnsi="Microsoft YaHei"/>
          <w:b/>
          <w:color w:val="1A1A1A"/>
        </w:rPr>
        <w:t>+0.60%</w:t>
      </w:r>
      <w:r>
        <w:rPr>
          <w:rFonts w:ascii="Microsoft YaHei" w:hAnsi="Microsoft YaHei"/>
        </w:rPr>
        <w:t>，板块内 13 只上涨、5 只下跌。港口板块整体跑赢大盘，显示出资金对交运基础设施方向的关注度提升。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4.28 元</w:t>
            </w:r>
            <w:r>
              <w:rPr>
                <w:rFonts w:ascii="Microsoft YaHei" w:hAnsi="Microsoft YaHei"/>
                <w:sz w:val="18"/>
              </w:rPr>
              <w:t>（+1.18%）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4.23 / 4.26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4.34 / 4.23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318,358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13,636.0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1.1%</w:t>
            </w:r>
            <w:r>
              <w:rPr>
                <w:rFonts w:ascii="Microsoft YaHei" w:hAnsi="Microsoft YaHei"/>
                <w:sz w:val="18"/>
              </w:rPr>
              <w:t xml:space="preserve">（较昨日终值 0.65% 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70%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1.15</w:t>
            </w:r>
            <w:r>
              <w:rPr>
                <w:rFonts w:ascii="Microsoft YaHei" w:hAnsi="Microsoft YaHei"/>
                <w:sz w:val="18"/>
              </w:rPr>
              <w:t>（温和放量）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8.77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0.61 倍</w:t>
            </w:r>
            <w:r>
              <w:rPr>
                <w:rFonts w:ascii="Microsoft YaHei" w:hAnsi="Microsoft YaHei"/>
                <w:sz w:val="18"/>
              </w:rPr>
              <w:t>（破净）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123.86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 xml:space="preserve">天津港今日高开于 </w:t>
      </w:r>
      <w:r>
        <w:rPr>
          <w:rFonts w:ascii="Microsoft YaHei" w:hAnsi="Microsoft YaHei"/>
          <w:b/>
          <w:color w:val="1A1A1A"/>
        </w:rPr>
        <w:t>4.26 元</w:t>
      </w:r>
      <w:r>
        <w:rPr>
          <w:rFonts w:ascii="Microsoft YaHei" w:hAnsi="Microsoft YaHei"/>
        </w:rPr>
        <w:t xml:space="preserve">，早盘小幅探底 4.23 元（昨收价）后震荡上行，盘中最高触及 </w:t>
      </w:r>
      <w:r>
        <w:rPr>
          <w:rFonts w:ascii="Microsoft YaHei" w:hAnsi="Microsoft YaHei"/>
          <w:b/>
          <w:color w:val="1A1A1A"/>
        </w:rPr>
        <w:t>4.34 元</w:t>
      </w:r>
      <w:r>
        <w:rPr>
          <w:rFonts w:ascii="Microsoft YaHei" w:hAnsi="Microsoft YaHei"/>
        </w:rPr>
        <w:t xml:space="preserve">，午间收于 4.28 元，涨幅 </w:t>
      </w:r>
      <w:r>
        <w:rPr>
          <w:rFonts w:ascii="Microsoft YaHei" w:hAnsi="Microsoft YaHei"/>
          <w:b/>
          <w:color w:val="1A1A1A"/>
        </w:rPr>
        <w:t>1.18%</w:t>
      </w:r>
      <w:r>
        <w:rPr>
          <w:rFonts w:ascii="Microsoft YaHei" w:hAnsi="Microsoft YaHei"/>
        </w:rPr>
        <w:t>，日线收出小阳线。</w:t>
      </w:r>
    </w:p>
    <w:p>
      <w:pPr>
        <w:pStyle w:val="ListBullet"/>
      </w:pPr>
      <w:r>
        <w:rPr>
          <w:rFonts w:ascii="Microsoft YaHei" w:hAnsi="Microsoft YaHei"/>
        </w:rPr>
        <w:t xml:space="preserve">成交额 </w:t>
      </w:r>
      <w:r>
        <w:rPr>
          <w:rFonts w:ascii="Microsoft YaHei" w:hAnsi="Microsoft YaHei"/>
          <w:b/>
          <w:color w:val="1A1A1A"/>
        </w:rPr>
        <w:t>1.36 亿元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1.1%</w:t>
      </w:r>
      <w:r>
        <w:rPr>
          <w:rFonts w:ascii="Microsoft YaHei" w:hAnsi="Microsoft YaHei"/>
        </w:rPr>
        <w:t xml:space="preserve">，较昨日终值 </w:t>
      </w:r>
      <w:r>
        <w:rPr>
          <w:rFonts w:ascii="Microsoft YaHei" w:hAnsi="Microsoft YaHei"/>
          <w:b/>
          <w:color w:val="1A1A1A"/>
        </w:rPr>
        <w:t>0.65%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70%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1.15</w:t>
      </w:r>
      <w:r>
        <w:rPr>
          <w:rFonts w:ascii="Microsoft YaHei" w:hAnsi="Microsoft YaHei"/>
        </w:rPr>
        <w:t>，量价配合较为理想，说明今日确有增量资金参与。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PE 8.77 倍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PB 0.61 倍</w:t>
      </w:r>
      <w:r>
        <w:rPr>
          <w:rFonts w:ascii="Microsoft YaHei" w:hAnsi="Microsoft YaHei"/>
        </w:rPr>
        <w:t>，处于历史估值低位区间，具备一定安全边际。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主力资金流向（盘中逐分钟统计）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+1,346.83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69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44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368.5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215.1 万元</w:t>
            </w:r>
          </w:p>
        </w:tc>
      </w:tr>
    </w:tbl>
    <w:p/>
    <w:p>
      <w:r>
        <w:rPr>
          <w:rFonts w:ascii="Microsoft YaHei" w:hAnsi="Microsoft YaHei"/>
        </w:rPr>
        <w:t>资金面整体偏强，</w:t>
      </w:r>
      <w:r>
        <w:rPr>
          <w:rFonts w:ascii="Microsoft YaHei" w:hAnsi="Microsoft YaHei"/>
          <w:b/>
          <w:color w:val="1A1A1A"/>
        </w:rPr>
        <w:t>流入时长占比 61%</w:t>
      </w:r>
      <w:r>
        <w:rPr>
          <w:rFonts w:ascii="Microsoft YaHei" w:hAnsi="Microsoft YaHei"/>
        </w:rPr>
        <w:t>，最大单分钟流入量（368.5 万）远超最大流出量（215.1 万），显示主动买盘占据主导地位。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类别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+6,586,119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18,942,979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12,356,860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+3,187,287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14,866,435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11,679,148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+3,694,904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7,462,705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3,767,801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+13,468,310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昨日三个资金维度均为净流入，大单净流入 </w:t>
      </w:r>
      <w:r>
        <w:rPr>
          <w:rFonts w:ascii="Microsoft YaHei" w:hAnsi="Microsoft YaHei"/>
          <w:b/>
          <w:color w:val="1A1A1A"/>
        </w:rPr>
        <w:t>658.6 万元</w:t>
      </w:r>
      <w:r>
        <w:rPr>
          <w:rFonts w:ascii="Microsoft YaHei" w:hAnsi="Microsoft YaHei"/>
        </w:rPr>
        <w:t xml:space="preserve">居首，中单、小单同步正向，呈现 </w:t>
      </w:r>
      <w:r>
        <w:rPr>
          <w:rFonts w:ascii="Microsoft YaHei" w:hAnsi="Microsoft YaHei"/>
          <w:b/>
          <w:color w:val="1A1A1A"/>
        </w:rPr>
        <w:t>"普涨式加仓"</w:t>
      </w:r>
      <w:r>
        <w:rPr>
          <w:rFonts w:ascii="Microsoft YaHei" w:hAnsi="Microsoft YaHei"/>
        </w:rPr>
        <w:t xml:space="preserve"> 格局，筹码集中度有所提升。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2.97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 -0.74%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0.02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 +15.09%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融资余额占流通市值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2.42%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低于近一年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10% 分位水平</w:t>
            </w:r>
          </w:p>
        </w:tc>
      </w:tr>
    </w:tbl>
    <w:p/>
    <w:p>
      <w:r>
        <w:rPr>
          <w:rFonts w:ascii="Microsoft YaHei" w:hAnsi="Microsoft YaHei"/>
        </w:rPr>
        <w:t>融资余额处于近一年绝对低位，说明杠杆资金在此位置参与度偏低，但也从侧面反映出</w:t>
      </w:r>
      <w:r>
        <w:rPr>
          <w:rFonts w:ascii="Microsoft YaHei" w:hAnsi="Microsoft YaHei"/>
          <w:b/>
          <w:color w:val="1A1A1A"/>
        </w:rPr>
        <w:t>潜在加杠杆空间较大</w:t>
      </w:r>
      <w:r>
        <w:rPr>
          <w:rFonts w:ascii="Microsoft YaHei" w:hAnsi="Microsoft YaHei"/>
        </w:rPr>
        <w:t>，一旦趋势确立，融资盘回补将提供增量弹药。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4.26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+0.5%</w:t>
            </w:r>
            <w:r>
              <w:rPr>
                <w:rFonts w:ascii="Microsoft YaHei" w:hAnsi="Microsoft YaHei"/>
                <w:sz w:val="18"/>
              </w:rPr>
              <w:t>（紧贴）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4.24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+0.9%</w:t>
            </w:r>
            <w:r>
              <w:rPr>
                <w:rFonts w:ascii="Microsoft YaHei" w:hAnsi="Microsoft YaHei"/>
                <w:sz w:val="18"/>
              </w:rPr>
              <w:t>（站稳）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4.13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+3.6%</w:t>
            </w:r>
            <w:r>
              <w:rPr>
                <w:rFonts w:ascii="Microsoft YaHei" w:hAnsi="Microsoft YaHei"/>
                <w:sz w:val="18"/>
              </w:rPr>
              <w:t>（有效突破）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4.39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距上轨约 2.5%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3.87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技术形态判断：</w:t>
      </w:r>
      <w:r>
        <w:rPr>
          <w:rFonts w:ascii="Microsoft YaHei" w:hAnsi="Microsoft YaHei"/>
        </w:rPr>
        <w:t xml:space="preserve"> 当前价 </w:t>
      </w:r>
      <w:r>
        <w:rPr>
          <w:rFonts w:ascii="Microsoft YaHei" w:hAnsi="Microsoft YaHei"/>
          <w:b/>
          <w:color w:val="1A1A1A"/>
        </w:rPr>
        <w:t>4.28 元</w:t>
      </w:r>
      <w:r>
        <w:rPr>
          <w:rFonts w:ascii="Microsoft YaHei" w:hAnsi="Microsoft YaHei"/>
        </w:rPr>
        <w:t xml:space="preserve"> 已站稳 MA5（4.26）和 MA10（4.24），短期均线呈 </w:t>
      </w:r>
      <w:r>
        <w:rPr>
          <w:rFonts w:ascii="Microsoft YaHei" w:hAnsi="Microsoft YaHei"/>
          <w:b/>
          <w:color w:val="1A1A1A"/>
        </w:rPr>
        <w:t>多头排列雏形</w:t>
      </w:r>
      <w:r>
        <w:rPr>
          <w:rFonts w:ascii="Microsoft YaHei" w:hAnsi="Microsoft YaHei"/>
        </w:rPr>
        <w:t xml:space="preserve">。最重要的是，股价已有效突破 MA20 / 布林中轨（4.13）并运行于上方 </w:t>
      </w:r>
      <w:r>
        <w:rPr>
          <w:rFonts w:ascii="Microsoft YaHei" w:hAnsi="Microsoft YaHei"/>
          <w:b/>
          <w:color w:val="1A1A1A"/>
        </w:rPr>
        <w:t>3.6%</w:t>
      </w:r>
      <w:r>
        <w:rPr>
          <w:rFonts w:ascii="Microsoft YaHei" w:hAnsi="Microsoft YaHei"/>
        </w:rPr>
        <w:t xml:space="preserve">，这是中期趋势转强的关键信号。距布林上轨 4.39 元尚有约 </w:t>
      </w:r>
      <w:r>
        <w:rPr>
          <w:rFonts w:ascii="Microsoft YaHei" w:hAnsi="Microsoft YaHei"/>
          <w:b/>
          <w:color w:val="1A1A1A"/>
        </w:rPr>
        <w:t>2.5% 的腾挪空间</w:t>
      </w:r>
      <w:r>
        <w:rPr>
          <w:rFonts w:ascii="Microsoft YaHei" w:hAnsi="Microsoft YaHei"/>
        </w:rPr>
        <w:t>，未触及超买区域，技术上仍有上行余力。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关键利好一：天津港"智慧零碳"码头获国家级背书</w:t>
      </w:r>
    </w:p>
    <w:p>
      <w:r>
        <w:rPr>
          <w:rFonts w:ascii="Microsoft YaHei" w:hAnsi="Microsoft YaHei"/>
        </w:rPr>
        <w:t>工信部近日印发《关于组织开展国家级零碳工厂建设工作的通知》，</w:t>
      </w:r>
      <w:r>
        <w:rPr>
          <w:rFonts w:ascii="Microsoft YaHei" w:hAnsi="Microsoft YaHei"/>
          <w:b/>
          <w:color w:val="1A1A1A"/>
        </w:rPr>
        <w:t>天津港"智慧零碳"码头被列为典型案例</w:t>
      </w:r>
      <w:r>
        <w:rPr>
          <w:rFonts w:ascii="Microsoft YaHei" w:hAnsi="Microsoft YaHei"/>
        </w:rPr>
        <w:t xml:space="preserve">。该码头深度融合 5G、北斗、AI 等前沿技术，搭载风电与分布式光伏系统，年发电量约 </w:t>
      </w:r>
      <w:r>
        <w:rPr>
          <w:rFonts w:ascii="Microsoft YaHei" w:hAnsi="Microsoft YaHei"/>
          <w:b/>
          <w:color w:val="1A1A1A"/>
        </w:rPr>
        <w:t>6000 万度</w:t>
      </w:r>
      <w:r>
        <w:rPr>
          <w:rFonts w:ascii="Microsoft YaHei" w:hAnsi="Microsoft YaHei"/>
        </w:rPr>
        <w:t>，实现绿电自产自足、全程零碳排放。</w:t>
      </w:r>
    </w:p>
    <w:p>
      <w:r>
        <w:rPr>
          <w:rFonts w:ascii="Microsoft YaHei" w:hAnsi="Microsoft YaHei"/>
          <w:b/>
          <w:color w:val="1A1A1A"/>
        </w:rPr>
        <w:t>影响分析：</w:t>
      </w:r>
      <w:r>
        <w:rPr>
          <w:rFonts w:ascii="Microsoft YaHei" w:hAnsi="Microsoft YaHei"/>
        </w:rPr>
        <w:t xml:space="preserve"> 国家级政策文件的点名示范，有助于提升天津港的品牌形象与行业地位，未来在政策资源倾斜、绿色金融支持等方面有望受益。同时，"零碳"概念契合市场对 ESG 主线的关注，对估值修复具有正向催化作用。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关键利好二：解放时代全国总部落地天津港保税区</w:t>
      </w:r>
    </w:p>
    <w:p>
      <w:r>
        <w:rPr>
          <w:rFonts w:ascii="Microsoft YaHei" w:hAnsi="Microsoft YaHei"/>
        </w:rPr>
        <w:t xml:space="preserve">由 </w:t>
      </w:r>
      <w:r>
        <w:rPr>
          <w:rFonts w:ascii="Microsoft YaHei" w:hAnsi="Microsoft YaHei"/>
          <w:b/>
          <w:color w:val="1A1A1A"/>
        </w:rPr>
        <w:t>一汽解放、宁德时代、特来电</w:t>
      </w:r>
      <w:r>
        <w:rPr>
          <w:rFonts w:ascii="Microsoft YaHei" w:hAnsi="Microsoft YaHei"/>
        </w:rPr>
        <w:t xml:space="preserve"> 三家行业巨头联合成立的解放时代新能源科技有限公司，全国总部项目正式落户 </w:t>
      </w:r>
      <w:r>
        <w:rPr>
          <w:rFonts w:ascii="Microsoft YaHei" w:hAnsi="Microsoft YaHei"/>
          <w:b/>
          <w:color w:val="1A1A1A"/>
        </w:rPr>
        <w:t>天津港保税区</w:t>
      </w:r>
      <w:r>
        <w:rPr>
          <w:rFonts w:ascii="Microsoft YaHei" w:hAnsi="Microsoft YaHei"/>
        </w:rPr>
        <w:t xml:space="preserve">。企业核心业务聚焦新能源商用车整车租赁与电池租赁（"车电分离"模式），2026 年力争实现 </w:t>
      </w:r>
      <w:r>
        <w:rPr>
          <w:rFonts w:ascii="Microsoft YaHei" w:hAnsi="Microsoft YaHei"/>
          <w:b/>
          <w:color w:val="1A1A1A"/>
        </w:rPr>
        <w:t>资产总额超 50 亿元、营收 10 亿元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影响分析：</w:t>
      </w:r>
      <w:r>
        <w:rPr>
          <w:rFonts w:ascii="Microsoft YaHei" w:hAnsi="Microsoft YaHei"/>
        </w:rPr>
        <w:t xml:space="preserve"> 大型产业总部的落地对天津港保税区的发展具有里程碑意义，将直接带动区域物流、仓储、航运配套需求。天津港作为核心口岸枢纽，有望受益于新能源商用车产业链在区域内的聚集效应，中长期货运增量可期。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利好三：天津港保税区航运产业蓬勃发展</w:t>
      </w:r>
    </w:p>
    <w:p>
      <w:r>
        <w:rPr>
          <w:rFonts w:ascii="Microsoft YaHei" w:hAnsi="Microsoft YaHei"/>
        </w:rPr>
        <w:t xml:space="preserve">据《中国税务报》报道，天津港保税区海工装备产值 2025 年突破 </w:t>
      </w:r>
      <w:r>
        <w:rPr>
          <w:rFonts w:ascii="Microsoft YaHei" w:hAnsi="Microsoft YaHei"/>
          <w:b/>
          <w:color w:val="1A1A1A"/>
        </w:rPr>
        <w:t>221.4 亿元（同比+31.7%）</w:t>
      </w:r>
      <w:r>
        <w:rPr>
          <w:rFonts w:ascii="Microsoft YaHei" w:hAnsi="Microsoft YaHei"/>
        </w:rPr>
        <w:t xml:space="preserve">，区内汇聚 </w:t>
      </w:r>
      <w:r>
        <w:rPr>
          <w:rFonts w:ascii="Microsoft YaHei" w:hAnsi="Microsoft YaHei"/>
          <w:b/>
          <w:color w:val="1A1A1A"/>
        </w:rPr>
        <w:t>12 家行业龙头、近 150 家配套企业</w:t>
      </w:r>
      <w:r>
        <w:rPr>
          <w:rFonts w:ascii="Microsoft YaHei" w:hAnsi="Microsoft YaHei"/>
        </w:rPr>
        <w:t xml:space="preserve">。中船天津全年船舶交付量预计翻番，在手订单排至 2030 年；太重滨海"前港后厂"模式实现 </w:t>
      </w:r>
      <w:r>
        <w:rPr>
          <w:rFonts w:ascii="Microsoft YaHei" w:hAnsi="Microsoft YaHei"/>
          <w:b/>
          <w:color w:val="1A1A1A"/>
        </w:rPr>
        <w:t>码头年吞吐量超 300 万吨</w:t>
      </w:r>
      <w:r>
        <w:rPr>
          <w:rFonts w:ascii="Microsoft YaHei" w:hAnsi="Microsoft YaHei"/>
        </w:rPr>
        <w:t>，外贸货量占比超 95%。</w:t>
      </w:r>
    </w:p>
    <w:p>
      <w:r>
        <w:rPr>
          <w:rFonts w:ascii="Microsoft YaHei" w:hAnsi="Microsoft YaHei"/>
          <w:b/>
          <w:color w:val="1A1A1A"/>
        </w:rPr>
        <w:t>影响分析：</w:t>
      </w:r>
      <w:r>
        <w:rPr>
          <w:rFonts w:ascii="Microsoft YaHei" w:hAnsi="Microsoft YaHei"/>
        </w:rPr>
        <w:t xml:space="preserve"> 保税区产业生态的持续壮大，为天津港带来稳定的货源增长基础。订单饱满意味着未来数年港口作业量有保障，对港口吞吐量和收入构成实质性支撑。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关联板块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板块内涨跌比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海港与服务（A股）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9/19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涨13 / 跌5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交通基本设施（A股）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22/47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涨32 / 跌12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46/121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涨68 / 跌48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天津自贸区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-1.43%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3/16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涨4 / 跌10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京津冀一体化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-0.98%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89/275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涨120 / 跌145</w:t>
            </w:r>
          </w:p>
        </w:tc>
      </w:tr>
    </w:tbl>
    <w:p/>
    <w:p>
      <w:r>
        <w:rPr>
          <w:rFonts w:ascii="Microsoft YaHei" w:hAnsi="Microsoft YaHei"/>
        </w:rPr>
        <w:t>天津港在核心港口板块中处于中上游水平。</w:t>
      </w:r>
      <w:r>
        <w:rPr>
          <w:rFonts w:ascii="Microsoft YaHei" w:hAnsi="Microsoft YaHei"/>
          <w:b/>
          <w:color w:val="1A1A1A"/>
        </w:rPr>
        <w:t>海港与服务</w:t>
      </w:r>
      <w:r>
        <w:rPr>
          <w:rFonts w:ascii="Microsoft YaHei" w:hAnsi="Microsoft YaHei"/>
        </w:rPr>
        <w:t>板块中，领涨的招商港口（</w:t>
      </w:r>
      <w:r>
        <w:rPr>
          <w:rFonts w:ascii="Microsoft YaHei" w:hAnsi="Microsoft YaHei"/>
          <w:b/>
          <w:color w:val="1A1A1A"/>
        </w:rPr>
        <w:t>+3.18%</w:t>
      </w:r>
      <w:r>
        <w:rPr>
          <w:rFonts w:ascii="Microsoft YaHei" w:hAnsi="Microsoft YaHei"/>
        </w:rPr>
        <w:t>）、辽港股份（</w:t>
      </w:r>
      <w:r>
        <w:rPr>
          <w:rFonts w:ascii="Microsoft YaHei" w:hAnsi="Microsoft YaHei"/>
          <w:b/>
          <w:color w:val="1A1A1A"/>
        </w:rPr>
        <w:t>+2.80%</w:t>
      </w:r>
      <w:r>
        <w:rPr>
          <w:rFonts w:ascii="Microsoft YaHei" w:hAnsi="Microsoft YaHei"/>
        </w:rPr>
        <w:t>）、唐山港（</w:t>
      </w:r>
      <w:r>
        <w:rPr>
          <w:rFonts w:ascii="Microsoft YaHei" w:hAnsi="Microsoft YaHei"/>
          <w:b/>
          <w:color w:val="1A1A1A"/>
        </w:rPr>
        <w:t>+2.01%</w:t>
      </w:r>
      <w:r>
        <w:rPr>
          <w:rFonts w:ascii="Microsoft YaHei" w:hAnsi="Microsoft YaHei"/>
        </w:rPr>
        <w:t xml:space="preserve">）均录得较大涨幅，港口板块形成 </w:t>
      </w:r>
      <w:r>
        <w:rPr>
          <w:rFonts w:ascii="Microsoft YaHei" w:hAnsi="Microsoft YaHei"/>
          <w:b/>
          <w:color w:val="1A1A1A"/>
        </w:rPr>
        <w:t>集体联动效应</w:t>
      </w:r>
      <w:r>
        <w:rPr>
          <w:rFonts w:ascii="Microsoft YaHei" w:hAnsi="Microsoft YaHei"/>
        </w:rPr>
        <w:t xml:space="preserve">。在 </w:t>
      </w:r>
      <w:r>
        <w:rPr>
          <w:rFonts w:ascii="Microsoft YaHei" w:hAnsi="Microsoft YaHei"/>
          <w:b/>
          <w:color w:val="1A1A1A"/>
        </w:rPr>
        <w:t>天津自贸区</w:t>
      </w:r>
      <w:r>
        <w:rPr>
          <w:rFonts w:ascii="Microsoft YaHei" w:hAnsi="Microsoft YaHei"/>
        </w:rPr>
        <w:t xml:space="preserve"> 板块中，天津港排名第 </w:t>
      </w:r>
      <w:r>
        <w:rPr>
          <w:rFonts w:ascii="Microsoft YaHei" w:hAnsi="Microsoft YaHei"/>
          <w:b/>
          <w:color w:val="1A1A1A"/>
        </w:rPr>
        <w:t>3/16</w:t>
      </w:r>
      <w:r>
        <w:rPr>
          <w:rFonts w:ascii="Microsoft YaHei" w:hAnsi="Microsoft YaHei"/>
        </w:rPr>
        <w:t>，仅次于金开新能（+10.05%封板）和瑞普生物（+1.89%），表现优于板块均值。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主力观点：谨慎看多，短期有望继续上攻</w:t>
      </w:r>
    </w:p>
    <w:p>
      <w:r>
        <w:rPr>
          <w:rFonts w:ascii="Microsoft YaHei" w:hAnsi="Microsoft YaHei"/>
        </w:rPr>
        <w:t xml:space="preserve">天津港今日午间呈现 </w:t>
      </w:r>
      <w:r>
        <w:rPr>
          <w:rFonts w:ascii="Microsoft YaHei" w:hAnsi="Microsoft YaHei"/>
          <w:b/>
          <w:color w:val="1A1A1A"/>
        </w:rPr>
        <w:t>量价齐升、资金净流入、技术面转强</w:t>
      </w:r>
      <w:r>
        <w:rPr>
          <w:rFonts w:ascii="Microsoft YaHei" w:hAnsi="Microsoft YaHei"/>
        </w:rPr>
        <w:t xml:space="preserve"> 的三重共振格局：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 — 换手率 1.1%，较昨日放量 70%，量比 1.15，温和放量突破 MA20 中期均线，上涨具备真实买盘支撑；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资金面偏积极</w:t>
      </w:r>
      <w:r>
        <w:rPr>
          <w:rFonts w:ascii="Microsoft YaHei" w:hAnsi="Microsoft YaHei"/>
        </w:rPr>
        <w:t xml:space="preserve"> — 盘中净流入 </w:t>
      </w:r>
      <w:r>
        <w:rPr>
          <w:rFonts w:ascii="Microsoft YaHei" w:hAnsi="Microsoft YaHei"/>
          <w:b/>
          <w:color w:val="1A1A1A"/>
        </w:rPr>
        <w:t>1,346 万元</w:t>
      </w:r>
      <w:r>
        <w:rPr>
          <w:rFonts w:ascii="Microsoft YaHei" w:hAnsi="Microsoft YaHei"/>
        </w:rPr>
        <w:t>，流入时长占比 61%，大单、中单、小单三日均呈净流入态势，筹码趋于集中；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估值具备安全垫</w:t>
      </w:r>
      <w:r>
        <w:rPr>
          <w:rFonts w:ascii="Microsoft YaHei" w:hAnsi="Microsoft YaHei"/>
        </w:rPr>
        <w:t xml:space="preserve"> — PE 8.77 倍、PB 0.61 倍（破净），处于历史低位，在大盘回暖环境中具备估值修复弹性；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政策与产业催化密集</w:t>
      </w:r>
      <w:r>
        <w:rPr>
          <w:rFonts w:ascii="Microsoft YaHei" w:hAnsi="Microsoft YaHei"/>
        </w:rPr>
        <w:t xml:space="preserve"> — "零碳码头"获国家级示范、解放时代总部落户、保税区产业持续壮大，三重利好叠加为中长期基本面提供支撑。</w:t>
      </w:r>
    </w:p>
    <w:p>
      <w:r>
        <w:rPr>
          <w:rFonts w:ascii="Microsoft YaHei" w:hAnsi="Microsoft YaHei"/>
          <w:b/>
          <w:color w:val="1A1A1A"/>
        </w:rPr>
        <w:t>风险提示：</w:t>
      </w:r>
    </w:p>
    <w:p>
      <w:pPr>
        <w:pStyle w:val="ListBullet"/>
      </w:pPr>
      <w:r>
        <w:rPr>
          <w:rFonts w:ascii="Microsoft YaHei" w:hAnsi="Microsoft YaHei"/>
        </w:rPr>
        <w:t>融资余额处于近一年低位，说明市场对该股的杠杆参与意愿尚不强烈；</w:t>
      </w:r>
    </w:p>
    <w:p>
      <w:pPr>
        <w:pStyle w:val="ListBullet"/>
      </w:pPr>
      <w:r>
        <w:rPr>
          <w:rFonts w:ascii="Microsoft YaHei" w:hAnsi="Microsoft YaHei"/>
        </w:rPr>
        <w:t>布林上轨（4.39 元）为短线压力位，若不能放量突破，需警惕冲高回落；</w:t>
      </w:r>
    </w:p>
    <w:p>
      <w:pPr>
        <w:pStyle w:val="ListBullet"/>
      </w:pPr>
      <w:r>
        <w:rPr>
          <w:rFonts w:ascii="Microsoft YaHei" w:hAnsi="Microsoft YaHei"/>
        </w:rPr>
        <w:t>融券余额较前日增加 15.09%，需关注做空力量的变化。</w:t>
      </w:r>
    </w:p>
    <w:p>
      <w:r>
        <w:rPr>
          <w:rFonts w:ascii="Microsoft YaHei" w:hAnsi="Microsoft YaHei"/>
          <w:b/>
          <w:color w:val="1A1A1A"/>
        </w:rPr>
        <w:t>短期关键观察点：</w:t>
      </w:r>
      <w:r>
        <w:rPr>
          <w:rFonts w:ascii="Microsoft YaHei" w:hAnsi="Microsoft YaHei"/>
        </w:rPr>
        <w:t xml:space="preserve"> 午后能否站稳 </w:t>
      </w:r>
      <w:r>
        <w:rPr>
          <w:rFonts w:ascii="Microsoft YaHei" w:hAnsi="Microsoft YaHei"/>
          <w:b/>
          <w:color w:val="1A1A1A"/>
        </w:rPr>
        <w:t>4.30 元</w:t>
      </w:r>
      <w:r>
        <w:rPr>
          <w:rFonts w:ascii="Microsoft YaHei" w:hAnsi="Microsoft YaHei"/>
        </w:rPr>
        <w:t xml:space="preserve"> 并挑战布林上轨 </w:t>
      </w:r>
      <w:r>
        <w:rPr>
          <w:rFonts w:ascii="Microsoft YaHei" w:hAnsi="Microsoft YaHei"/>
          <w:b/>
          <w:color w:val="1A1A1A"/>
        </w:rPr>
        <w:t>4.39 元</w:t>
      </w:r>
      <w:r>
        <w:rPr>
          <w:rFonts w:ascii="Microsoft YaHei" w:hAnsi="Microsoft YaHei"/>
        </w:rPr>
        <w:t>；若持续放量站稳 4.30，则短线目标可看至 4.40-4.45 区间。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*以上分析基于公开市场数据与资讯，不构成投资建议。股市有风险，投资需谨慎。*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天津港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