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广州港（601228.SH）午间分析报告</w:t>
      </w:r>
    </w:p>
    <w:p>
      <w:r>
        <w:rPr>
          <w:rFonts w:ascii="Microsoft YaHei" w:hAnsi="Microsoft YaHei"/>
        </w:rPr>
        <w:t>&gt; 报告时间：2026-07-29 11:30 | 数据截止当日午间收盘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上涨占比79%</w:t>
      </w:r>
      <w:r>
        <w:rPr>
          <w:rFonts w:ascii="Microsoft YaHei" w:hAnsi="Microsoft YaHei"/>
        </w:rPr>
        <w:t xml:space="preserve">，涨跌比为 </w:t>
      </w:r>
      <w:r>
        <w:rPr>
          <w:rFonts w:ascii="Microsoft YaHei" w:hAnsi="Microsoft YaHei"/>
          <w:b/>
          <w:color w:val="1A1A1A"/>
        </w:rPr>
        <w:t>3404:2018</w:t>
      </w:r>
      <w:r>
        <w:rPr>
          <w:rFonts w:ascii="Microsoft YaHei" w:hAnsi="Microsoft YaHei"/>
        </w:rPr>
        <w:t xml:space="preserve">，涨停58家、跌停19家，市场热度评分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。三大指数整体走强，赚钱效应录得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，涨停梯队方面，一板晋级率仅7%，但二板晋级率 </w:t>
      </w:r>
      <w:r>
        <w:rPr>
          <w:rFonts w:ascii="Microsoft YaHei" w:hAnsi="Microsoft YaHei"/>
          <w:b/>
          <w:color w:val="1A1A1A"/>
        </w:rPr>
        <w:t>23%</w:t>
      </w:r>
      <w:r>
        <w:rPr>
          <w:rFonts w:ascii="Microsoft YaHei" w:hAnsi="Microsoft YaHei"/>
        </w:rPr>
        <w:t xml:space="preserve">、三板晋级率 </w:t>
      </w:r>
      <w:r>
        <w:rPr>
          <w:rFonts w:ascii="Microsoft YaHei" w:hAnsi="Microsoft YaHei"/>
          <w:b/>
          <w:color w:val="1A1A1A"/>
        </w:rPr>
        <w:t>33%</w:t>
      </w:r>
      <w:r>
        <w:rPr>
          <w:rFonts w:ascii="Microsoft YaHei" w:hAnsi="Microsoft YaHei"/>
        </w:rPr>
        <w:t>，连板高度有限，资金偏好在首板轮动而非高位接力。</w:t>
      </w:r>
    </w:p>
    <w:p>
      <w:r>
        <w:rPr>
          <w:rFonts w:ascii="Microsoft YaHei" w:hAnsi="Microsoft YaHei"/>
        </w:rPr>
        <w:t>港口航运板块受隔夜消息面催化整体活跃。</w:t>
      </w:r>
      <w:r>
        <w:rPr>
          <w:rFonts w:ascii="Microsoft YaHei" w:hAnsi="Microsoft YaHei"/>
          <w:b/>
          <w:color w:val="1A1A1A"/>
        </w:rPr>
        <w:t>交通基本设施(A股)</w:t>
      </w:r>
      <w:r>
        <w:rPr>
          <w:rFonts w:ascii="Microsoft YaHei" w:hAnsi="Microsoft YaHei"/>
        </w:rPr>
        <w:t xml:space="preserve"> 板块上涨 </w:t>
      </w:r>
      <w:r>
        <w:rPr>
          <w:rFonts w:ascii="Microsoft YaHei" w:hAnsi="Microsoft YaHei"/>
          <w:b/>
          <w:color w:val="1A1A1A"/>
        </w:rPr>
        <w:t>+0.87%</w:t>
      </w:r>
      <w:r>
        <w:rPr>
          <w:rFonts w:ascii="Microsoft YaHei" w:hAnsi="Microsoft YaHei"/>
        </w:rPr>
        <w:t xml:space="preserve">，排名第 </w:t>
      </w:r>
      <w:r>
        <w:rPr>
          <w:rFonts w:ascii="Microsoft YaHei" w:hAnsi="Microsoft YaHei"/>
          <w:b/>
          <w:color w:val="1A1A1A"/>
        </w:rPr>
        <w:t>137/1158</w:t>
      </w:r>
      <w:r>
        <w:rPr>
          <w:rFonts w:ascii="Microsoft YaHei" w:hAnsi="Microsoft YaHei"/>
        </w:rPr>
        <w:t xml:space="preserve"> 位，领涨行业板块；</w:t>
      </w:r>
      <w:r>
        <w:rPr>
          <w:rFonts w:ascii="Microsoft YaHei" w:hAnsi="Microsoft YaHei"/>
          <w:b/>
          <w:color w:val="1A1A1A"/>
        </w:rPr>
        <w:t>海港与服务(A股)</w:t>
      </w:r>
      <w:r>
        <w:rPr>
          <w:rFonts w:ascii="Microsoft YaHei" w:hAnsi="Microsoft YaHei"/>
        </w:rPr>
        <w:t xml:space="preserve"> 板块上涨 </w:t>
      </w:r>
      <w:r>
        <w:rPr>
          <w:rFonts w:ascii="Microsoft YaHei" w:hAnsi="Microsoft YaHei"/>
          <w:b/>
          <w:color w:val="1A1A1A"/>
        </w:rPr>
        <w:t>+0.60%</w:t>
      </w:r>
      <w:r>
        <w:rPr>
          <w:rFonts w:ascii="Microsoft YaHei" w:hAnsi="Microsoft YaHei"/>
        </w:rPr>
        <w:t xml:space="preserve">，排名第 </w:t>
      </w:r>
      <w:r>
        <w:rPr>
          <w:rFonts w:ascii="Microsoft YaHei" w:hAnsi="Microsoft YaHei"/>
          <w:b/>
          <w:color w:val="1A1A1A"/>
        </w:rPr>
        <w:t>163/1158</w:t>
      </w:r>
      <w:r>
        <w:rPr>
          <w:rFonts w:ascii="Microsoft YaHei" w:hAnsi="Microsoft YaHei"/>
        </w:rPr>
        <w:t xml:space="preserve"> 位，板块内 </w:t>
      </w:r>
      <w:r>
        <w:rPr>
          <w:rFonts w:ascii="Microsoft YaHei" w:hAnsi="Microsoft YaHei"/>
          <w:b/>
          <w:color w:val="1A1A1A"/>
        </w:rPr>
        <w:t>13涨5跌</w:t>
      </w:r>
      <w:r>
        <w:rPr>
          <w:rFonts w:ascii="Microsoft YaHei" w:hAnsi="Microsoft YaHei"/>
        </w:rPr>
        <w:t>，普涨格局明确。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3.07 元</w:t>
            </w:r>
            <w:r>
              <w:rPr>
                <w:rFonts w:ascii="Microsoft YaHei" w:hAnsi="Microsoft YaHei"/>
                <w:sz w:val="18"/>
              </w:rPr>
              <w:t>（+1.32%）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3.03 / 3.03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3.08 / 3.01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2.31%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343,020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10,474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24.84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231.62 亿元</w:t>
            </w:r>
            <w:r>
              <w:rPr>
                <w:rFonts w:ascii="Microsoft YaHei" w:hAnsi="Microsoft YaHei"/>
                <w:sz w:val="18"/>
              </w:rPr>
              <w:t>（全流通）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股价以 </w:t>
      </w:r>
      <w:r>
        <w:rPr>
          <w:rFonts w:ascii="Microsoft YaHei" w:hAnsi="Microsoft YaHei"/>
          <w:b/>
          <w:color w:val="1A1A1A"/>
        </w:rPr>
        <w:t>3.03元平开</w:t>
      </w:r>
      <w:r>
        <w:rPr>
          <w:rFonts w:ascii="Microsoft YaHei" w:hAnsi="Microsoft YaHei"/>
        </w:rPr>
        <w:t xml:space="preserve">，盘中最低探至 </w:t>
      </w:r>
      <w:r>
        <w:rPr>
          <w:rFonts w:ascii="Microsoft YaHei" w:hAnsi="Microsoft YaHei"/>
          <w:b/>
          <w:color w:val="1A1A1A"/>
        </w:rPr>
        <w:t>3.01元</w:t>
      </w:r>
      <w:r>
        <w:rPr>
          <w:rFonts w:ascii="Microsoft YaHei" w:hAnsi="Microsoft YaHei"/>
        </w:rPr>
        <w:t xml:space="preserve"> 后震荡走高，最高触及 </w:t>
      </w:r>
      <w:r>
        <w:rPr>
          <w:rFonts w:ascii="Microsoft YaHei" w:hAnsi="Microsoft YaHei"/>
          <w:b/>
          <w:color w:val="1A1A1A"/>
        </w:rPr>
        <w:t>3.08元</w:t>
      </w:r>
      <w:r>
        <w:rPr>
          <w:rFonts w:ascii="Microsoft YaHei" w:hAnsi="Microsoft YaHei"/>
        </w:rPr>
        <w:t xml:space="preserve">，午盘收于 </w:t>
      </w:r>
      <w:r>
        <w:rPr>
          <w:rFonts w:ascii="Microsoft YaHei" w:hAnsi="Microsoft YaHei"/>
          <w:b/>
          <w:color w:val="1A1A1A"/>
        </w:rPr>
        <w:t>3.07元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+1.32%</w:t>
      </w:r>
      <w:r>
        <w:rPr>
          <w:rFonts w:ascii="Microsoft YaHei" w:hAnsi="Microsoft YaHei"/>
        </w:rPr>
        <w:t>，走势稳健。</w:t>
      </w:r>
    </w:p>
    <w:p>
      <w:pPr>
        <w:pStyle w:val="ListBullet"/>
      </w:pPr>
      <w:r>
        <w:rPr>
          <w:rFonts w:ascii="Microsoft YaHei" w:hAnsi="Microsoft YaHei"/>
        </w:rPr>
        <w:t xml:space="preserve">今日午间换手率 </w:t>
      </w:r>
      <w:r>
        <w:rPr>
          <w:rFonts w:ascii="Microsoft YaHei" w:hAnsi="Microsoft YaHei"/>
          <w:b/>
          <w:color w:val="1A1A1A"/>
        </w:rPr>
        <w:t>0.45%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0.28%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1.60倍</w:t>
      </w:r>
      <w:r>
        <w:rPr>
          <w:rFonts w:ascii="Microsoft YaHei" w:hAnsi="Microsoft YaHei"/>
        </w:rPr>
        <w:t>，放量上涨形态良好。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外盘（173,445手）&gt; 内盘（169,575手）</w:t>
      </w:r>
      <w:r>
        <w:rPr>
          <w:rFonts w:ascii="Microsoft YaHei" w:hAnsi="Microsoft YaHei"/>
        </w:rPr>
        <w:t>，主动性买盘略占优势，多空博弈中多方稍强。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动态市盈率回落至 </w:t>
      </w:r>
      <w:r>
        <w:rPr>
          <w:rFonts w:ascii="Microsoft YaHei" w:hAnsi="Microsoft YaHei"/>
          <w:b/>
          <w:color w:val="1A1A1A"/>
        </w:rPr>
        <w:t>24.84倍</w:t>
      </w:r>
      <w:r>
        <w:rPr>
          <w:rFonts w:ascii="Microsoft YaHei" w:hAnsi="Microsoft YaHei"/>
        </w:rPr>
        <w:t xml:space="preserve">，较上一交易日的 </w:t>
      </w:r>
      <w:r>
        <w:rPr>
          <w:rFonts w:ascii="Microsoft YaHei" w:hAnsi="Microsoft YaHei"/>
          <w:b/>
          <w:color w:val="1A1A1A"/>
        </w:rPr>
        <w:t>27.91倍</w:t>
      </w:r>
      <w:r>
        <w:rPr>
          <w:rFonts w:ascii="Microsoft YaHei" w:hAnsi="Microsoft YaHei"/>
        </w:rPr>
        <w:t xml:space="preserve"> 有所压缩，PB稳定在 </w:t>
      </w:r>
      <w:r>
        <w:rPr>
          <w:rFonts w:ascii="Microsoft YaHei" w:hAnsi="Microsoft YaHei"/>
          <w:b/>
          <w:color w:val="1A1A1A"/>
        </w:rPr>
        <w:t>1.09倍</w:t>
      </w:r>
      <w:r>
        <w:rPr>
          <w:rFonts w:ascii="Microsoft YaHei" w:hAnsi="Microsoft YaHei"/>
        </w:rPr>
        <w:t>，估值处于合理偏低区间。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1,891.94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统计分钟数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88 分钟</w:t>
            </w:r>
            <w:r>
              <w:rPr>
                <w:rFonts w:ascii="Microsoft YaHei" w:hAnsi="Microsoft YaHei"/>
                <w:sz w:val="18"/>
              </w:rPr>
              <w:t>（占77.9%）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 分钟（占22.1%）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325.9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155.7 万元</w:t>
            </w:r>
          </w:p>
        </w:tc>
      </w:tr>
    </w:tbl>
    <w:p/>
    <w:p>
      <w:r>
        <w:rPr>
          <w:rFonts w:ascii="Microsoft YaHei" w:hAnsi="Microsoft YaHei"/>
        </w:rPr>
        <w:t xml:space="preserve">资金面信号积极。在 </w:t>
      </w:r>
      <w:r>
        <w:rPr>
          <w:rFonts w:ascii="Microsoft YaHei" w:hAnsi="Microsoft YaHei"/>
          <w:b/>
          <w:color w:val="1A1A1A"/>
        </w:rPr>
        <w:t>113分钟</w:t>
      </w:r>
      <w:r>
        <w:rPr>
          <w:rFonts w:ascii="Microsoft YaHei" w:hAnsi="Microsoft YaHei"/>
        </w:rPr>
        <w:t xml:space="preserve"> 的统计时段内，有 </w:t>
      </w:r>
      <w:r>
        <w:rPr>
          <w:rFonts w:ascii="Microsoft YaHei" w:hAnsi="Microsoft YaHei"/>
          <w:b/>
          <w:color w:val="1A1A1A"/>
        </w:rPr>
        <w:t>88分钟</w:t>
      </w:r>
      <w:r>
        <w:rPr>
          <w:rFonts w:ascii="Microsoft YaHei" w:hAnsi="Microsoft YaHei"/>
        </w:rPr>
        <w:t xml:space="preserve"> 处于资金净流入状态，占比近八成。最大单分钟流入（325.9万元）约为最大流出（155.7万元）的 </w:t>
      </w:r>
      <w:r>
        <w:rPr>
          <w:rFonts w:ascii="Microsoft YaHei" w:hAnsi="Microsoft YaHei"/>
          <w:b/>
          <w:color w:val="1A1A1A"/>
        </w:rPr>
        <w:t>2.1倍</w:t>
      </w:r>
      <w:r>
        <w:rPr>
          <w:rFonts w:ascii="Microsoft YaHei" w:hAnsi="Microsoft YaHei"/>
        </w:rPr>
        <w:t>，说明买方力量明显占优。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+7,529,428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17,383,938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9,854,510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+7,059,769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10,685,354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3,625,585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+4,330,212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6,531,522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2,201,310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+18,919,409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上一交易日大、中、小单 </w:t>
      </w:r>
      <w:r>
        <w:rPr>
          <w:rFonts w:ascii="Microsoft YaHei" w:hAnsi="Microsoft YaHei"/>
          <w:b/>
          <w:color w:val="1A1A1A"/>
        </w:rPr>
        <w:t>全线净流入</w:t>
      </w:r>
      <w:r>
        <w:rPr>
          <w:rFonts w:ascii="Microsoft YaHei" w:hAnsi="Microsoft YaHei"/>
        </w:rPr>
        <w:t xml:space="preserve">，合计净流入 </w:t>
      </w:r>
      <w:r>
        <w:rPr>
          <w:rFonts w:ascii="Microsoft YaHei" w:hAnsi="Microsoft YaHei"/>
          <w:b/>
          <w:color w:val="1A1A1A"/>
        </w:rPr>
        <w:t>约1,892万元</w:t>
      </w:r>
      <w:r>
        <w:rPr>
          <w:rFonts w:ascii="Microsoft YaHei" w:hAnsi="Microsoft YaHei"/>
        </w:rPr>
        <w:t xml:space="preserve">。其中大单净流入 </w:t>
      </w:r>
      <w:r>
        <w:rPr>
          <w:rFonts w:ascii="Microsoft YaHei" w:hAnsi="Microsoft YaHei"/>
          <w:b/>
          <w:color w:val="1A1A1A"/>
        </w:rPr>
        <w:t>752.9万元</w:t>
      </w:r>
      <w:r>
        <w:rPr>
          <w:rFonts w:ascii="Microsoft YaHei" w:hAnsi="Microsoft YaHei"/>
        </w:rPr>
        <w:t xml:space="preserve">，中单净流入 </w:t>
      </w:r>
      <w:r>
        <w:rPr>
          <w:rFonts w:ascii="Microsoft YaHei" w:hAnsi="Microsoft YaHei"/>
          <w:b/>
          <w:color w:val="1A1A1A"/>
        </w:rPr>
        <w:t>706.0万元</w:t>
      </w:r>
      <w:r>
        <w:rPr>
          <w:rFonts w:ascii="Microsoft YaHei" w:hAnsi="Microsoft YaHei"/>
        </w:rPr>
        <w:t>，资金结构均衡，未见明显分歧。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2.64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-0.64%</w:t>
            </w:r>
            <w:r>
              <w:rPr>
                <w:rFonts w:ascii="Microsoft YaHei" w:hAnsi="Microsoft YaHei"/>
                <w:sz w:val="18"/>
              </w:rPr>
              <w:t>（小幅偿还）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0.02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+9.30%（基数极小）</w:t>
            </w:r>
          </w:p>
        </w:tc>
      </w:tr>
    </w:tbl>
    <w:p/>
    <w:p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1.15%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20%分位水平</w:t>
      </w:r>
      <w:r>
        <w:rPr>
          <w:rFonts w:ascii="Microsoft YaHei" w:hAnsi="Microsoft YaHei"/>
        </w:rPr>
        <w:t>，杠杆资金参与度偏低，筹码压力较小。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MA5（≈3.06）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MA10（≈3.02）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布林中轨（≈2.95）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3.07元</w:t>
      </w:r>
      <w:r>
        <w:rPr>
          <w:rFonts w:ascii="Microsoft YaHei" w:hAnsi="Microsoft YaHei"/>
        </w:rPr>
        <w:t xml:space="preserve"> 站稳 </w:t>
      </w:r>
      <w:r>
        <w:rPr>
          <w:rFonts w:ascii="Microsoft YaHei" w:hAnsi="Microsoft YaHei"/>
          <w:b/>
          <w:color w:val="1A1A1A"/>
        </w:rPr>
        <w:t>MA5（3.06）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MA10（3.02）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MA20（2.95）</w:t>
      </w:r>
      <w:r>
        <w:rPr>
          <w:rFonts w:ascii="Microsoft YaHei" w:hAnsi="Microsoft YaHei"/>
        </w:rPr>
        <w:t xml:space="preserve"> 三条均线之上，短线、中短线呈多头排列。</w:t>
      </w:r>
    </w:p>
    <w:p>
      <w:pPr>
        <w:pStyle w:val="ListBullet"/>
      </w:pPr>
      <w:r>
        <w:rPr>
          <w:rFonts w:ascii="Microsoft YaHei" w:hAnsi="Microsoft YaHei"/>
        </w:rPr>
        <w:t xml:space="preserve">与MA20/布林中轨的偏离度为 </w:t>
      </w:r>
      <w:r>
        <w:rPr>
          <w:rFonts w:ascii="Microsoft YaHei" w:hAnsi="Microsoft YaHei"/>
          <w:b/>
          <w:color w:val="1A1A1A"/>
        </w:rPr>
        <w:t>+4.1%</w:t>
      </w:r>
      <w:r>
        <w:rPr>
          <w:rFonts w:ascii="Microsoft YaHei" w:hAnsi="Microsoft YaHei"/>
        </w:rPr>
        <w:t>，尚未过热，仍有向上空间。</w:t>
      </w:r>
    </w:p>
    <w:p>
      <w:pPr>
        <w:pStyle w:val="ListBullet"/>
      </w:pPr>
      <w:r>
        <w:rPr>
          <w:rFonts w:ascii="Microsoft YaHei" w:hAnsi="Microsoft YaHei"/>
        </w:rPr>
        <w:t xml:space="preserve">距离布林上轨 </w:t>
      </w:r>
      <w:r>
        <w:rPr>
          <w:rFonts w:ascii="Microsoft YaHei" w:hAnsi="Microsoft YaHei"/>
          <w:b/>
          <w:color w:val="1A1A1A"/>
        </w:rPr>
        <w:t>3.13元</w:t>
      </w:r>
      <w:r>
        <w:rPr>
          <w:rFonts w:ascii="Microsoft YaHei" w:hAnsi="Microsoft YaHei"/>
        </w:rPr>
        <w:t xml:space="preserve"> 仅约 </w:t>
      </w:r>
      <w:r>
        <w:rPr>
          <w:rFonts w:ascii="Microsoft YaHei" w:hAnsi="Microsoft YaHei"/>
          <w:b/>
          <w:color w:val="1A1A1A"/>
        </w:rPr>
        <w:t>1.9%</w:t>
      </w:r>
      <w:r>
        <w:rPr>
          <w:rFonts w:ascii="Microsoft YaHei" w:hAnsi="Microsoft YaHei"/>
        </w:rPr>
        <w:t>，若午后继续放量，有望挑战该位置；若缩量，则可能围绕3.05~3.08区间震荡整固。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重要资讯影响分析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【广州南沙走进北京精准对接，央国企齐聚抢抓"湾区棋眼"发展新机】</w:t>
      </w:r>
    </w:p>
    <w:p>
      <w:r>
        <w:rPr>
          <w:rFonts w:ascii="Microsoft YaHei" w:hAnsi="Microsoft YaHei"/>
        </w:rPr>
        <w:t xml:space="preserve">   - 时间：2026-07-29 09:43</w:t>
      </w:r>
    </w:p>
    <w:p>
      <w:r>
        <w:rPr>
          <w:rFonts w:ascii="Microsoft YaHei" w:hAnsi="Microsoft YaHei"/>
        </w:rPr>
        <w:t xml:space="preserve">   - 影响逻辑：广州港作为南沙港区的核心运营主体，是粤港澳大湾区建设的关键基础设施平台。央国企齐聚对接，或预示着后续有政策与项目利好落地，对广州港的区域地位和业务增量形成</w:t>
      </w:r>
      <w:r>
        <w:rPr>
          <w:rFonts w:ascii="Microsoft YaHei" w:hAnsi="Microsoft YaHei"/>
          <w:b/>
          <w:color w:val="1A1A1A"/>
        </w:rPr>
        <w:t>正向催化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【伊朗提议管理霍尔木兹海峡航运，国际原油大幅收跌超4%】</w:t>
      </w:r>
    </w:p>
    <w:p>
      <w:r>
        <w:rPr>
          <w:rFonts w:ascii="Microsoft YaHei" w:hAnsi="Microsoft YaHei"/>
        </w:rPr>
        <w:t xml:space="preserve">   - 时间：2026-07-29 06:00</w:t>
      </w:r>
    </w:p>
    <w:p>
      <w:r>
        <w:rPr>
          <w:rFonts w:ascii="Microsoft YaHei" w:hAnsi="Microsoft YaHei"/>
        </w:rPr>
        <w:t xml:space="preserve">   - 影响逻辑：霍尔木兹海峡航运管理议题推升地缘关注度，国际油价大跌对航运成本端构成利好，同时地缘局势变化可能影响国际航运路线和港口吞吐量预期，间接利好具备战略地位的国内港口股。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【融资余额2.64亿元，融资净买入额-170.3万元】</w:t>
      </w:r>
    </w:p>
    <w:p>
      <w:r>
        <w:rPr>
          <w:rFonts w:ascii="Microsoft YaHei" w:hAnsi="Microsoft YaHei"/>
        </w:rPr>
        <w:t xml:space="preserve">   - 时间：2026-07-28/29</w:t>
      </w:r>
    </w:p>
    <w:p>
      <w:r>
        <w:rPr>
          <w:rFonts w:ascii="Microsoft YaHei" w:hAnsi="Microsoft YaHei"/>
        </w:rPr>
        <w:t xml:space="preserve">   - 影响逻辑：融资小幅净偿还，但绝对值仅 </w:t>
      </w:r>
      <w:r>
        <w:rPr>
          <w:rFonts w:ascii="Microsoft YaHei" w:hAnsi="Microsoft YaHei"/>
          <w:b/>
          <w:color w:val="1A1A1A"/>
        </w:rPr>
        <w:t>170万元</w:t>
      </w:r>
      <w:r>
        <w:rPr>
          <w:rFonts w:ascii="Microsoft YaHei" w:hAnsi="Microsoft YaHei"/>
        </w:rPr>
        <w:t xml:space="preserve">，占融资余额比例不足 </w:t>
      </w:r>
      <w:r>
        <w:rPr>
          <w:rFonts w:ascii="Microsoft YaHei" w:hAnsi="Microsoft YaHei"/>
          <w:b/>
          <w:color w:val="1A1A1A"/>
        </w:rPr>
        <w:t>0.65%</w:t>
      </w:r>
      <w:r>
        <w:rPr>
          <w:rFonts w:ascii="Microsoft YaHei" w:hAnsi="Microsoft YaHei"/>
        </w:rPr>
        <w:t>，属于正常波动范围，表明杠杆资金情绪稳定，未出现恐慌性或追涨式加杠杆行为。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广州港在多个板块中表现居中偏上：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20/47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海港与服务(A股)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283/550</w:t>
            </w:r>
          </w:p>
        </w:tc>
      </w:tr>
    </w:tbl>
    <w:p/>
    <w:p>
      <w:r>
        <w:rPr>
          <w:rFonts w:ascii="Microsoft YaHei" w:hAnsi="Microsoft YaHei"/>
        </w:rPr>
        <w:t>海港与服务板块中，</w:t>
      </w:r>
      <w:r>
        <w:rPr>
          <w:rFonts w:ascii="Microsoft YaHei" w:hAnsi="Microsoft YaHei"/>
          <w:b/>
          <w:color w:val="1A1A1A"/>
        </w:rPr>
        <w:t>招商港口（+3.18%）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辽港股份（+2.80%）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唐山港（+2.01%）</w:t>
      </w:r>
      <w:r>
        <w:rPr>
          <w:rFonts w:ascii="Microsoft YaHei" w:hAnsi="Microsoft YaHei"/>
        </w:rPr>
        <w:t xml:space="preserve"> 领涨，板块整体呈现 </w:t>
      </w:r>
      <w:r>
        <w:rPr>
          <w:rFonts w:ascii="Microsoft YaHei" w:hAnsi="Microsoft YaHei"/>
          <w:b/>
          <w:color w:val="1A1A1A"/>
        </w:rPr>
        <w:t>普涨格局</w:t>
      </w:r>
      <w:r>
        <w:rPr>
          <w:rFonts w:ascii="Microsoft YaHei" w:hAnsi="Microsoft YaHei"/>
        </w:rPr>
        <w:t xml:space="preserve">。广州港涨幅 </w:t>
      </w:r>
      <w:r>
        <w:rPr>
          <w:rFonts w:ascii="Microsoft YaHei" w:hAnsi="Microsoft YaHei"/>
          <w:b/>
          <w:color w:val="1A1A1A"/>
        </w:rPr>
        <w:t>+1.32%</w:t>
      </w:r>
      <w:r>
        <w:rPr>
          <w:rFonts w:ascii="Microsoft YaHei" w:hAnsi="Microsoft YaHei"/>
        </w:rPr>
        <w:t xml:space="preserve">，跑赢板块均值，在板块内排名 </w:t>
      </w:r>
      <w:r>
        <w:rPr>
          <w:rFonts w:ascii="Microsoft YaHei" w:hAnsi="Microsoft YaHei"/>
          <w:b/>
          <w:color w:val="1A1A1A"/>
        </w:rPr>
        <w:t>7/19</w:t>
      </w:r>
      <w:r>
        <w:rPr>
          <w:rFonts w:ascii="Microsoft YaHei" w:hAnsi="Microsoft YaHei"/>
        </w:rPr>
        <w:t>，处于中上游水平。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研判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全市场情绪偏暖，港口板块整体走强，环境利好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量价配合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放量上涨（量比1.18，换手较上日放大1.6倍），价量配合良好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资金动向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盘中资金净流入1,892万元，流入分钟占比78%，大中小单全面净流入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技术形态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股价站上MA5/MA10/MA20，多头排列，距布林上轨尚有空间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消息催化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粤港澳大湾区建设预期升温 + 地缘因素催化港口关注度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24.84倍、PB 1.09倍，估值处于合理偏低水平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午间总结：</w:t>
      </w:r>
      <w:r>
        <w:rPr>
          <w:rFonts w:ascii="Microsoft YaHei" w:hAnsi="Microsoft YaHei"/>
        </w:rPr>
        <w:t xml:space="preserve"> 广州港今日走势稳健，在港口板块普涨格局下实现 </w:t>
      </w:r>
      <w:r>
        <w:rPr>
          <w:rFonts w:ascii="Microsoft YaHei" w:hAnsi="Microsoft YaHei"/>
          <w:b/>
          <w:color w:val="1A1A1A"/>
        </w:rPr>
        <w:t>+1.32%</w:t>
      </w:r>
      <w:r>
        <w:rPr>
          <w:rFonts w:ascii="Microsoft YaHei" w:hAnsi="Microsoft YaHei"/>
        </w:rPr>
        <w:t xml:space="preserve"> 的涨幅，量能温和放大，资金呈现持续净流入态势，技术面多头排列清晰。粤港澳大湾区政策预期（广州南沙对接）与地缘航运话题（霍尔木兹海峡）构成双重催化。午后关注 </w:t>
      </w:r>
      <w:r>
        <w:rPr>
          <w:rFonts w:ascii="Microsoft YaHei" w:hAnsi="Microsoft YaHei"/>
          <w:b/>
          <w:color w:val="1A1A1A"/>
        </w:rPr>
        <w:t>3.08元（今日高点）</w:t>
      </w:r>
      <w:r>
        <w:rPr>
          <w:rFonts w:ascii="Microsoft YaHei" w:hAnsi="Microsoft YaHei"/>
        </w:rPr>
        <w:t xml:space="preserve"> 能否有效突破，若放量站上，下一步有望向布林上轨 </w:t>
      </w:r>
      <w:r>
        <w:rPr>
          <w:rFonts w:ascii="Microsoft YaHei" w:hAnsi="Microsoft YaHei"/>
          <w:b/>
          <w:color w:val="1A1A1A"/>
        </w:rPr>
        <w:t>3.13元</w:t>
      </w:r>
      <w:r>
        <w:rPr>
          <w:rFonts w:ascii="Microsoft YaHei" w:hAnsi="Microsoft YaHei"/>
        </w:rPr>
        <w:t xml:space="preserve"> 发起挑战；若量能不足，则可能在 </w:t>
      </w:r>
      <w:r>
        <w:rPr>
          <w:rFonts w:ascii="Microsoft YaHei" w:hAnsi="Microsoft YaHei"/>
          <w:b/>
          <w:color w:val="1A1A1A"/>
        </w:rPr>
        <w:t>3.05~3.07元</w:t>
      </w:r>
      <w:r>
        <w:rPr>
          <w:rFonts w:ascii="Microsoft YaHei" w:hAnsi="Microsoft YaHei"/>
        </w:rPr>
        <w:t xml:space="preserve"> 区间整理。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以上分析基于公开数据和当前市场环境，不构成投资建议。股市有风险，投资需谨慎。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广州港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